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distribute"/>
        <w:rPr>
          <w:rFonts w:hint="eastAsia" w:eastAsiaTheme="minorEastAsia"/>
          <w:b/>
          <w:bCs/>
          <w:color w:val="FF0000"/>
          <w:sz w:val="84"/>
          <w:szCs w:val="84"/>
          <w:u w:val="single"/>
          <w:lang w:eastAsia="zh-CN"/>
        </w:rPr>
      </w:pPr>
      <w:r>
        <w:rPr>
          <w:rFonts w:hint="eastAsia"/>
          <w:b/>
          <w:bCs/>
          <w:color w:val="FF0000"/>
          <w:sz w:val="84"/>
          <w:szCs w:val="84"/>
          <w:u w:val="single"/>
          <w:lang w:eastAsia="zh-CN"/>
        </w:rPr>
        <w:t>广州市番禺区厂商会</w:t>
      </w:r>
    </w:p>
    <w:p/>
    <w:p>
      <w:pPr>
        <w:jc w:val="center"/>
        <w:rPr>
          <w:rFonts w:hint="eastAsia"/>
          <w:b/>
          <w:bCs/>
          <w:sz w:val="48"/>
          <w:szCs w:val="48"/>
          <w:lang w:eastAsia="zh-CN"/>
        </w:rPr>
      </w:pPr>
      <w:r>
        <w:rPr>
          <w:rFonts w:hint="eastAsia"/>
          <w:b/>
          <w:bCs/>
          <w:sz w:val="48"/>
          <w:szCs w:val="48"/>
          <w:lang w:eastAsia="zh-CN"/>
        </w:rPr>
        <w:t>关于报读区工商职校的通知</w:t>
      </w:r>
    </w:p>
    <w:p>
      <w:pPr>
        <w:jc w:val="both"/>
        <w:rPr>
          <w:rFonts w:hint="eastAsia"/>
          <w:sz w:val="28"/>
          <w:szCs w:val="28"/>
          <w:lang w:eastAsia="zh-CN"/>
        </w:rPr>
      </w:pPr>
    </w:p>
    <w:p>
      <w:pPr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各会员企业：</w:t>
      </w:r>
    </w:p>
    <w:p>
      <w:pPr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为了帮助各企业员工解决子女就读问题，经与区工商职校商议，该校拟吸收企业部分员工子女入读。计划由我会作好各企业员工子女报读情况统计后，由区工商职校进行面试筛选。具体报读事项如下：</w:t>
      </w:r>
    </w:p>
    <w:p>
      <w:pPr>
        <w:numPr>
          <w:ilvl w:val="0"/>
          <w:numId w:val="1"/>
        </w:numPr>
        <w:ind w:firstLine="560"/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报名条件</w:t>
      </w:r>
    </w:p>
    <w:p>
      <w:pPr>
        <w:numPr>
          <w:ilvl w:val="0"/>
          <w:numId w:val="0"/>
        </w:numPr>
        <w:ind w:firstLine="640"/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报读学生需为2017年应届初中毕业生，具备良好的思想素质，身心健康；成绩优良，有较强自主学习能力。</w:t>
      </w:r>
    </w:p>
    <w:p>
      <w:pPr>
        <w:numPr>
          <w:ilvl w:val="0"/>
          <w:numId w:val="1"/>
        </w:numPr>
        <w:ind w:firstLine="640" w:firstLineChars="0"/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报读流程</w:t>
      </w:r>
    </w:p>
    <w:p>
      <w:pPr>
        <w:numPr>
          <w:ilvl w:val="0"/>
          <w:numId w:val="0"/>
        </w:numPr>
        <w:ind w:firstLine="640"/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（一）报读学生需持初中毕业证书、中考成绩单、身份证及户口本等资料的复印件到区工商职校报名，然后面试。面试以考核报读学生的品性及特长为主，同时兼顾学生的学习习惯及综合素质等。未填报志愿的学生及外省市籍的应届毕业生，需提前面试，以便学校落实学位。</w:t>
      </w:r>
    </w:p>
    <w:p>
      <w:pPr>
        <w:numPr>
          <w:ilvl w:val="0"/>
          <w:numId w:val="0"/>
        </w:numPr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　　（二）面试合格后，凭学校的录取通知单办理入学手续。凡农村（含县镇）户籍学生可享受国家免学费政策；持“六证”家庭经济困难学生第一、二年可申请2000元/年的国家助学金。学生顺利毕业，学校可推荐就业。</w:t>
      </w:r>
    </w:p>
    <w:p>
      <w:pPr>
        <w:ind w:firstLine="560"/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如企业员工子女有意向入读的，请填写以下回执于5月20日前回传到厂商会秘书处。</w:t>
      </w:r>
    </w:p>
    <w:p>
      <w:pPr>
        <w:ind w:firstLine="560"/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（本通知，可在厂商会网站www.pycsh.cn或关注微信公众号pyqcsh查阅。）</w:t>
      </w:r>
    </w:p>
    <w:p>
      <w:p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附件1：番禺区工商职业技术学校简介</w:t>
      </w:r>
    </w:p>
    <w:p>
      <w:pPr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附件2：区工商职校招生一览表</w:t>
      </w:r>
    </w:p>
    <w:p>
      <w:pPr>
        <w:ind w:firstLine="560"/>
        <w:jc w:val="righ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广州市番禺区厂商会</w:t>
      </w:r>
    </w:p>
    <w:p>
      <w:pPr>
        <w:wordWrap w:val="0"/>
        <w:ind w:firstLine="560"/>
        <w:jc w:val="righ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2017年5月4日  </w:t>
      </w:r>
    </w:p>
    <w:p>
      <w:pPr>
        <w:wordWrap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联系人：苏子宇</w:t>
      </w:r>
    </w:p>
    <w:p>
      <w:pPr>
        <w:wordWrap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联系电话：84649162,13431072772</w:t>
      </w:r>
    </w:p>
    <w:p>
      <w:pPr>
        <w:wordWrap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传真：84641660</w:t>
      </w:r>
    </w:p>
    <w:p>
      <w:pPr>
        <w:wordWrap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邮箱：</w:t>
      </w:r>
      <w:r>
        <w:rPr>
          <w:rFonts w:hint="eastAsia"/>
          <w:sz w:val="32"/>
          <w:szCs w:val="32"/>
          <w:lang w:val="en-US" w:eastAsia="zh-CN"/>
        </w:rPr>
        <w:fldChar w:fldCharType="begin"/>
      </w:r>
      <w:r>
        <w:rPr>
          <w:rFonts w:hint="eastAsia"/>
          <w:sz w:val="32"/>
          <w:szCs w:val="32"/>
          <w:lang w:val="en-US" w:eastAsia="zh-CN"/>
        </w:rPr>
        <w:instrText xml:space="preserve"> HYPERLINK "mailto:2429266614@qq.com" </w:instrText>
      </w:r>
      <w:r>
        <w:rPr>
          <w:rFonts w:hint="eastAsia"/>
          <w:sz w:val="32"/>
          <w:szCs w:val="32"/>
          <w:lang w:val="en-US" w:eastAsia="zh-CN"/>
        </w:rPr>
        <w:fldChar w:fldCharType="separate"/>
      </w:r>
      <w:r>
        <w:rPr>
          <w:rStyle w:val="4"/>
          <w:rFonts w:hint="eastAsia"/>
          <w:sz w:val="32"/>
          <w:szCs w:val="32"/>
          <w:lang w:val="en-US" w:eastAsia="zh-CN"/>
        </w:rPr>
        <w:t>2429266614@qq.com</w:t>
      </w:r>
      <w:r>
        <w:rPr>
          <w:rFonts w:hint="eastAsia"/>
          <w:sz w:val="32"/>
          <w:szCs w:val="32"/>
          <w:lang w:val="en-US" w:eastAsia="zh-CN"/>
        </w:rPr>
        <w:fldChar w:fldCharType="end"/>
      </w:r>
    </w:p>
    <w:p>
      <w:pPr>
        <w:wordWrap/>
        <w:jc w:val="left"/>
        <w:rPr>
          <w:rFonts w:hint="eastAsia"/>
          <w:sz w:val="32"/>
          <w:szCs w:val="32"/>
          <w:lang w:val="en-US" w:eastAsia="zh-CN"/>
        </w:rPr>
      </w:pPr>
    </w:p>
    <w:p>
      <w:pPr>
        <w:wordWrap/>
        <w:jc w:val="center"/>
        <w:rPr>
          <w:rFonts w:hint="eastAsia"/>
          <w:b/>
          <w:bCs/>
          <w:sz w:val="40"/>
          <w:szCs w:val="40"/>
          <w:lang w:val="en-US" w:eastAsia="zh-CN"/>
        </w:rPr>
      </w:pPr>
      <w:r>
        <w:rPr>
          <w:rFonts w:hint="eastAsia"/>
          <w:b/>
          <w:bCs/>
          <w:sz w:val="40"/>
          <w:szCs w:val="40"/>
          <w:lang w:val="en-US" w:eastAsia="zh-CN"/>
        </w:rPr>
        <w:t>回  执</w:t>
      </w:r>
    </w:p>
    <w:tbl>
      <w:tblPr>
        <w:tblStyle w:val="6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2001"/>
        <w:gridCol w:w="1500"/>
        <w:gridCol w:w="1365"/>
        <w:gridCol w:w="1905"/>
        <w:gridCol w:w="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wordWrap/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7740" w:type="dxa"/>
            <w:gridSpan w:val="5"/>
          </w:tcPr>
          <w:p>
            <w:pPr>
              <w:wordWrap/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wordWrap/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员工姓名</w:t>
            </w:r>
          </w:p>
        </w:tc>
        <w:tc>
          <w:tcPr>
            <w:tcW w:w="2001" w:type="dxa"/>
          </w:tcPr>
          <w:p>
            <w:pPr>
              <w:wordWrap/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1500" w:type="dxa"/>
          </w:tcPr>
          <w:p>
            <w:pPr>
              <w:wordWrap/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子女姓名</w:t>
            </w:r>
          </w:p>
        </w:tc>
        <w:tc>
          <w:tcPr>
            <w:tcW w:w="1365" w:type="dxa"/>
          </w:tcPr>
          <w:p>
            <w:pPr>
              <w:wordWrap/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户籍类型</w:t>
            </w:r>
          </w:p>
        </w:tc>
        <w:tc>
          <w:tcPr>
            <w:tcW w:w="1905" w:type="dxa"/>
          </w:tcPr>
          <w:p>
            <w:pPr>
              <w:wordWrap/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报读专业</w:t>
            </w:r>
          </w:p>
        </w:tc>
        <w:tc>
          <w:tcPr>
            <w:tcW w:w="969" w:type="dxa"/>
          </w:tcPr>
          <w:p>
            <w:pPr>
              <w:wordWrap/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wordWrap/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01" w:type="dxa"/>
          </w:tcPr>
          <w:p>
            <w:pPr>
              <w:wordWrap/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wordWrap/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5" w:type="dxa"/>
          </w:tcPr>
          <w:p>
            <w:pPr>
              <w:wordWrap/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05" w:type="dxa"/>
          </w:tcPr>
          <w:p>
            <w:pPr>
              <w:wordWrap/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69" w:type="dxa"/>
          </w:tcPr>
          <w:p>
            <w:pPr>
              <w:wordWrap/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wordWrap/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01" w:type="dxa"/>
          </w:tcPr>
          <w:p>
            <w:pPr>
              <w:wordWrap/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wordWrap/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5" w:type="dxa"/>
          </w:tcPr>
          <w:p>
            <w:pPr>
              <w:wordWrap/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05" w:type="dxa"/>
          </w:tcPr>
          <w:p>
            <w:pPr>
              <w:wordWrap/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69" w:type="dxa"/>
          </w:tcPr>
          <w:p>
            <w:pPr>
              <w:wordWrap/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wordWrap/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01" w:type="dxa"/>
          </w:tcPr>
          <w:p>
            <w:pPr>
              <w:wordWrap/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wordWrap/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5" w:type="dxa"/>
          </w:tcPr>
          <w:p>
            <w:pPr>
              <w:wordWrap/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05" w:type="dxa"/>
          </w:tcPr>
          <w:p>
            <w:pPr>
              <w:wordWrap/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69" w:type="dxa"/>
          </w:tcPr>
          <w:p>
            <w:pPr>
              <w:wordWrap/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wordWrap/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01" w:type="dxa"/>
          </w:tcPr>
          <w:p>
            <w:pPr>
              <w:wordWrap/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wordWrap/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5" w:type="dxa"/>
          </w:tcPr>
          <w:p>
            <w:pPr>
              <w:wordWrap/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05" w:type="dxa"/>
          </w:tcPr>
          <w:p>
            <w:pPr>
              <w:wordWrap/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69" w:type="dxa"/>
          </w:tcPr>
          <w:p>
            <w:pPr>
              <w:wordWrap/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wordWrap/>
        <w:jc w:val="both"/>
        <w:rPr>
          <w:rFonts w:hint="eastAsia"/>
          <w:b w:val="0"/>
          <w:bCs w:val="0"/>
          <w:sz w:val="28"/>
          <w:szCs w:val="28"/>
          <w:u w:val="singl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联系人：</w:t>
      </w:r>
      <w:r>
        <w:rPr>
          <w:rFonts w:hint="eastAsia"/>
          <w:b w:val="0"/>
          <w:bCs w:val="0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  联系电话：</w:t>
      </w:r>
      <w:r>
        <w:rPr>
          <w:rFonts w:hint="eastAsia"/>
          <w:b w:val="0"/>
          <w:bCs w:val="0"/>
          <w:sz w:val="28"/>
          <w:szCs w:val="28"/>
          <w:u w:val="single"/>
          <w:lang w:val="en-US" w:eastAsia="zh-CN"/>
        </w:rPr>
        <w:t xml:space="preserve">                     </w:t>
      </w:r>
    </w:p>
    <w:p>
      <w:pPr>
        <w:wordWrap/>
        <w:jc w:val="both"/>
        <w:rPr>
          <w:rFonts w:hint="eastAsia"/>
          <w:b/>
          <w:bCs/>
          <w:sz w:val="28"/>
          <w:szCs w:val="28"/>
          <w:lang w:val="en-US" w:eastAsia="zh-CN"/>
        </w:rPr>
        <w:sectPr>
          <w:pgSz w:w="11906" w:h="16838"/>
          <w:pgMar w:top="1417" w:right="1417" w:bottom="1417" w:left="1417" w:header="851" w:footer="992" w:gutter="0"/>
          <w:cols w:space="0" w:num="1"/>
          <w:rtlGutter w:val="0"/>
          <w:docGrid w:type="lines" w:linePitch="312" w:charSpace="0"/>
        </w:sectPr>
      </w:pPr>
    </w:p>
    <w:p>
      <w:pPr>
        <w:wordWrap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附件1：</w:t>
      </w:r>
    </w:p>
    <w:p>
      <w:pPr>
        <w:wordWrap/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番禺区工商职业技术学校简介</w:t>
      </w:r>
    </w:p>
    <w:p>
      <w:pPr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　　</w:t>
      </w:r>
    </w:p>
    <w:p>
      <w:pPr>
        <w:ind w:firstLine="640" w:firstLineChars="200"/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广州市番禺区工商职业技术学校，是一所区属公办中等职业学校，创办于1983年。在“上品教化”理念的引领下，学校坚持以培养“崇德尚礼、敬业乐学”的适应性人才为宗旨，着力培养学生的专业技能和职业素养，不断深化“政企校”合作的办学路子，为学生成才成功创造良好的平台。学校位于番禺市桥中心城区，交通便利。学校现有南北两个校区：南校区位于桥南街道办事处西侧，北校区位于番发广场（市桥汽车站旁）。目前，学校建立了成人高等教育大专、本科，网络远程教育大专、本科、在职研究生等成人教育，是一间集中等职业教育、成人高等教育、网络教育和社区教育于一体的公办学校。</w:t>
      </w:r>
    </w:p>
    <w:p>
      <w:pPr>
        <w:ind w:firstLine="640" w:firstLineChars="200"/>
        <w:jc w:val="both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/>
          <w:sz w:val="32"/>
          <w:szCs w:val="32"/>
          <w:lang w:val="en-US" w:eastAsia="zh-CN"/>
        </w:rPr>
      </w:pPr>
    </w:p>
    <w:p>
      <w:pPr>
        <w:wordWrap/>
        <w:jc w:val="left"/>
        <w:rPr>
          <w:rFonts w:hint="eastAsia"/>
          <w:sz w:val="28"/>
          <w:szCs w:val="28"/>
          <w:lang w:val="en-US" w:eastAsia="zh-CN"/>
        </w:rPr>
      </w:pPr>
    </w:p>
    <w:p>
      <w:pPr>
        <w:wordWrap/>
        <w:spacing w:line="240" w:lineRule="auto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附件2：</w:t>
      </w:r>
    </w:p>
    <w:p>
      <w:pPr>
        <w:wordWrap/>
        <w:spacing w:line="240" w:lineRule="auto"/>
        <w:jc w:val="center"/>
        <w:rPr>
          <w:rFonts w:hint="eastAsia"/>
          <w:b/>
          <w:bCs/>
          <w:sz w:val="48"/>
          <w:szCs w:val="48"/>
          <w:lang w:val="en-US" w:eastAsia="zh-CN"/>
        </w:rPr>
      </w:pPr>
      <w:r>
        <w:rPr>
          <w:rFonts w:hint="eastAsia"/>
          <w:b/>
          <w:bCs/>
          <w:sz w:val="48"/>
          <w:szCs w:val="48"/>
          <w:lang w:val="en-US" w:eastAsia="zh-CN"/>
        </w:rPr>
        <w:t>区工商职校招生一览表</w:t>
      </w:r>
    </w:p>
    <w:tbl>
      <w:tblPr>
        <w:tblStyle w:val="6"/>
        <w:tblW w:w="143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"/>
        <w:gridCol w:w="1662"/>
        <w:gridCol w:w="1661"/>
        <w:gridCol w:w="1662"/>
        <w:gridCol w:w="1662"/>
        <w:gridCol w:w="1661"/>
        <w:gridCol w:w="1662"/>
        <w:gridCol w:w="1661"/>
        <w:gridCol w:w="1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027" w:type="dxa"/>
            <w:vAlign w:val="center"/>
          </w:tcPr>
          <w:p>
            <w:pPr>
              <w:wordWrap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662" w:type="dxa"/>
            <w:vAlign w:val="center"/>
          </w:tcPr>
          <w:p>
            <w:pPr>
              <w:wordWrap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专业名称</w:t>
            </w:r>
          </w:p>
        </w:tc>
        <w:tc>
          <w:tcPr>
            <w:tcW w:w="1661" w:type="dxa"/>
            <w:vAlign w:val="center"/>
          </w:tcPr>
          <w:p>
            <w:pPr>
              <w:wordWrap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专业代码</w:t>
            </w:r>
          </w:p>
        </w:tc>
        <w:tc>
          <w:tcPr>
            <w:tcW w:w="1662" w:type="dxa"/>
            <w:vAlign w:val="center"/>
          </w:tcPr>
          <w:p>
            <w:pPr>
              <w:wordWrap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学历层次</w:t>
            </w:r>
          </w:p>
        </w:tc>
        <w:tc>
          <w:tcPr>
            <w:tcW w:w="1662" w:type="dxa"/>
            <w:vAlign w:val="center"/>
          </w:tcPr>
          <w:p>
            <w:pPr>
              <w:wordWrap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学制年限</w:t>
            </w:r>
          </w:p>
        </w:tc>
        <w:tc>
          <w:tcPr>
            <w:tcW w:w="1661" w:type="dxa"/>
            <w:vAlign w:val="center"/>
          </w:tcPr>
          <w:p>
            <w:pPr>
              <w:wordWrap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学费标准</w:t>
            </w:r>
          </w:p>
          <w:p>
            <w:pPr>
              <w:wordWrap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（元/学期）</w:t>
            </w:r>
          </w:p>
        </w:tc>
        <w:tc>
          <w:tcPr>
            <w:tcW w:w="1662" w:type="dxa"/>
            <w:vAlign w:val="center"/>
          </w:tcPr>
          <w:p>
            <w:pPr>
              <w:wordWrap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教材资料费</w:t>
            </w:r>
          </w:p>
          <w:p>
            <w:pPr>
              <w:wordWrap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（元/学期）</w:t>
            </w:r>
          </w:p>
        </w:tc>
        <w:tc>
          <w:tcPr>
            <w:tcW w:w="1661" w:type="dxa"/>
            <w:vAlign w:val="center"/>
          </w:tcPr>
          <w:p>
            <w:pPr>
              <w:wordWrap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住宿费</w:t>
            </w:r>
          </w:p>
          <w:p>
            <w:pPr>
              <w:wordWrap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（元/学期）</w:t>
            </w:r>
          </w:p>
        </w:tc>
        <w:tc>
          <w:tcPr>
            <w:tcW w:w="1662" w:type="dxa"/>
            <w:vAlign w:val="center"/>
          </w:tcPr>
          <w:p>
            <w:pPr>
              <w:wordWrap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027" w:type="dxa"/>
          </w:tcPr>
          <w:p>
            <w:pPr>
              <w:wordWrap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662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学前教育</w:t>
            </w:r>
          </w:p>
        </w:tc>
        <w:tc>
          <w:tcPr>
            <w:tcW w:w="1661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160100</w:t>
            </w:r>
          </w:p>
        </w:tc>
        <w:tc>
          <w:tcPr>
            <w:tcW w:w="1662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中专</w:t>
            </w:r>
          </w:p>
        </w:tc>
        <w:tc>
          <w:tcPr>
            <w:tcW w:w="1662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全日制三年</w:t>
            </w:r>
          </w:p>
        </w:tc>
        <w:tc>
          <w:tcPr>
            <w:tcW w:w="1661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2000</w:t>
            </w:r>
          </w:p>
        </w:tc>
        <w:tc>
          <w:tcPr>
            <w:tcW w:w="1662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200</w:t>
            </w:r>
          </w:p>
        </w:tc>
        <w:tc>
          <w:tcPr>
            <w:tcW w:w="1661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375</w:t>
            </w:r>
          </w:p>
        </w:tc>
        <w:tc>
          <w:tcPr>
            <w:tcW w:w="1662" w:type="dxa"/>
          </w:tcPr>
          <w:p>
            <w:pPr>
              <w:wordWrap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027" w:type="dxa"/>
          </w:tcPr>
          <w:p>
            <w:pPr>
              <w:wordWrap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662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会  计</w:t>
            </w:r>
          </w:p>
        </w:tc>
        <w:tc>
          <w:tcPr>
            <w:tcW w:w="1661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120100</w:t>
            </w:r>
          </w:p>
        </w:tc>
        <w:tc>
          <w:tcPr>
            <w:tcW w:w="1662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中专</w:t>
            </w:r>
          </w:p>
        </w:tc>
        <w:tc>
          <w:tcPr>
            <w:tcW w:w="1662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全日制三年</w:t>
            </w:r>
          </w:p>
        </w:tc>
        <w:tc>
          <w:tcPr>
            <w:tcW w:w="1661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1450</w:t>
            </w:r>
          </w:p>
        </w:tc>
        <w:tc>
          <w:tcPr>
            <w:tcW w:w="1662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200</w:t>
            </w:r>
          </w:p>
        </w:tc>
        <w:tc>
          <w:tcPr>
            <w:tcW w:w="1661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375</w:t>
            </w:r>
          </w:p>
        </w:tc>
        <w:tc>
          <w:tcPr>
            <w:tcW w:w="1662" w:type="dxa"/>
          </w:tcPr>
          <w:p>
            <w:pPr>
              <w:wordWrap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027" w:type="dxa"/>
          </w:tcPr>
          <w:p>
            <w:pPr>
              <w:wordWrap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662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文  秘</w:t>
            </w:r>
          </w:p>
        </w:tc>
        <w:tc>
          <w:tcPr>
            <w:tcW w:w="1661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180200</w:t>
            </w:r>
          </w:p>
        </w:tc>
        <w:tc>
          <w:tcPr>
            <w:tcW w:w="1662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中专</w:t>
            </w:r>
          </w:p>
        </w:tc>
        <w:tc>
          <w:tcPr>
            <w:tcW w:w="1662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全日制三年</w:t>
            </w:r>
          </w:p>
        </w:tc>
        <w:tc>
          <w:tcPr>
            <w:tcW w:w="1661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1450</w:t>
            </w:r>
          </w:p>
        </w:tc>
        <w:tc>
          <w:tcPr>
            <w:tcW w:w="1662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200</w:t>
            </w:r>
          </w:p>
        </w:tc>
        <w:tc>
          <w:tcPr>
            <w:tcW w:w="1661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375</w:t>
            </w:r>
          </w:p>
        </w:tc>
        <w:tc>
          <w:tcPr>
            <w:tcW w:w="1662" w:type="dxa"/>
          </w:tcPr>
          <w:p>
            <w:pPr>
              <w:wordWrap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027" w:type="dxa"/>
          </w:tcPr>
          <w:p>
            <w:pPr>
              <w:wordWrap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662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社区公共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事务管理</w:t>
            </w:r>
          </w:p>
        </w:tc>
        <w:tc>
          <w:tcPr>
            <w:tcW w:w="1661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181000</w:t>
            </w:r>
          </w:p>
        </w:tc>
        <w:tc>
          <w:tcPr>
            <w:tcW w:w="1662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中专</w:t>
            </w:r>
          </w:p>
        </w:tc>
        <w:tc>
          <w:tcPr>
            <w:tcW w:w="1662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全日制三年</w:t>
            </w:r>
          </w:p>
        </w:tc>
        <w:tc>
          <w:tcPr>
            <w:tcW w:w="1661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1450</w:t>
            </w:r>
          </w:p>
        </w:tc>
        <w:tc>
          <w:tcPr>
            <w:tcW w:w="1662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200</w:t>
            </w:r>
          </w:p>
        </w:tc>
        <w:tc>
          <w:tcPr>
            <w:tcW w:w="1661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375</w:t>
            </w:r>
          </w:p>
        </w:tc>
        <w:tc>
          <w:tcPr>
            <w:tcW w:w="1662" w:type="dxa"/>
          </w:tcPr>
          <w:p>
            <w:pPr>
              <w:wordWrap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027" w:type="dxa"/>
          </w:tcPr>
          <w:p>
            <w:pPr>
              <w:wordWrap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662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国际商务</w:t>
            </w:r>
          </w:p>
        </w:tc>
        <w:tc>
          <w:tcPr>
            <w:tcW w:w="1661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121200</w:t>
            </w:r>
          </w:p>
        </w:tc>
        <w:tc>
          <w:tcPr>
            <w:tcW w:w="1662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中专</w:t>
            </w:r>
          </w:p>
        </w:tc>
        <w:tc>
          <w:tcPr>
            <w:tcW w:w="1662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全日制三年</w:t>
            </w:r>
          </w:p>
        </w:tc>
        <w:tc>
          <w:tcPr>
            <w:tcW w:w="1661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1450</w:t>
            </w:r>
          </w:p>
        </w:tc>
        <w:tc>
          <w:tcPr>
            <w:tcW w:w="1662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200</w:t>
            </w:r>
          </w:p>
        </w:tc>
        <w:tc>
          <w:tcPr>
            <w:tcW w:w="1661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375</w:t>
            </w:r>
          </w:p>
        </w:tc>
        <w:tc>
          <w:tcPr>
            <w:tcW w:w="1662" w:type="dxa"/>
          </w:tcPr>
          <w:p>
            <w:pPr>
              <w:wordWrap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027" w:type="dxa"/>
          </w:tcPr>
          <w:p>
            <w:pPr>
              <w:wordWrap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662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电子电器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应用与维修</w:t>
            </w:r>
          </w:p>
        </w:tc>
        <w:tc>
          <w:tcPr>
            <w:tcW w:w="1661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053200</w:t>
            </w:r>
          </w:p>
        </w:tc>
        <w:tc>
          <w:tcPr>
            <w:tcW w:w="1662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中专</w:t>
            </w:r>
          </w:p>
        </w:tc>
        <w:tc>
          <w:tcPr>
            <w:tcW w:w="1662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全日制三年</w:t>
            </w:r>
          </w:p>
        </w:tc>
        <w:tc>
          <w:tcPr>
            <w:tcW w:w="1661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1700</w:t>
            </w:r>
          </w:p>
        </w:tc>
        <w:tc>
          <w:tcPr>
            <w:tcW w:w="1662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200</w:t>
            </w:r>
          </w:p>
        </w:tc>
        <w:tc>
          <w:tcPr>
            <w:tcW w:w="1661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375</w:t>
            </w:r>
          </w:p>
        </w:tc>
        <w:tc>
          <w:tcPr>
            <w:tcW w:w="1662" w:type="dxa"/>
          </w:tcPr>
          <w:p>
            <w:pPr>
              <w:wordWrap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027" w:type="dxa"/>
          </w:tcPr>
          <w:p>
            <w:pPr>
              <w:wordWrap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662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数字媒体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技术应用</w:t>
            </w:r>
          </w:p>
        </w:tc>
        <w:tc>
          <w:tcPr>
            <w:tcW w:w="1661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090200</w:t>
            </w:r>
          </w:p>
        </w:tc>
        <w:tc>
          <w:tcPr>
            <w:tcW w:w="1662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中专</w:t>
            </w:r>
          </w:p>
        </w:tc>
        <w:tc>
          <w:tcPr>
            <w:tcW w:w="1662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全日制三年</w:t>
            </w:r>
          </w:p>
        </w:tc>
        <w:tc>
          <w:tcPr>
            <w:tcW w:w="1661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1700</w:t>
            </w:r>
          </w:p>
        </w:tc>
        <w:tc>
          <w:tcPr>
            <w:tcW w:w="1662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200</w:t>
            </w:r>
          </w:p>
        </w:tc>
        <w:tc>
          <w:tcPr>
            <w:tcW w:w="1661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375</w:t>
            </w:r>
          </w:p>
        </w:tc>
        <w:tc>
          <w:tcPr>
            <w:tcW w:w="1662" w:type="dxa"/>
          </w:tcPr>
          <w:p>
            <w:pPr>
              <w:wordWrap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027" w:type="dxa"/>
          </w:tcPr>
          <w:p>
            <w:pPr>
              <w:wordWrap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662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社区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文化艺术</w:t>
            </w:r>
          </w:p>
        </w:tc>
        <w:tc>
          <w:tcPr>
            <w:tcW w:w="1661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140100</w:t>
            </w:r>
          </w:p>
        </w:tc>
        <w:tc>
          <w:tcPr>
            <w:tcW w:w="1662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中专</w:t>
            </w:r>
          </w:p>
        </w:tc>
        <w:tc>
          <w:tcPr>
            <w:tcW w:w="1662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全日制三年</w:t>
            </w:r>
          </w:p>
        </w:tc>
        <w:tc>
          <w:tcPr>
            <w:tcW w:w="1661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2000</w:t>
            </w:r>
          </w:p>
        </w:tc>
        <w:tc>
          <w:tcPr>
            <w:tcW w:w="1662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200</w:t>
            </w:r>
          </w:p>
        </w:tc>
        <w:tc>
          <w:tcPr>
            <w:tcW w:w="1661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375</w:t>
            </w:r>
          </w:p>
        </w:tc>
        <w:tc>
          <w:tcPr>
            <w:tcW w:w="1662" w:type="dxa"/>
          </w:tcPr>
          <w:p>
            <w:pPr>
              <w:wordWrap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027" w:type="dxa"/>
          </w:tcPr>
          <w:p>
            <w:pPr>
              <w:wordWrap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662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机电技术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应用</w:t>
            </w:r>
          </w:p>
        </w:tc>
        <w:tc>
          <w:tcPr>
            <w:tcW w:w="1661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051300</w:t>
            </w:r>
          </w:p>
        </w:tc>
        <w:tc>
          <w:tcPr>
            <w:tcW w:w="1662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中专</w:t>
            </w:r>
          </w:p>
        </w:tc>
        <w:tc>
          <w:tcPr>
            <w:tcW w:w="1662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全日制三年</w:t>
            </w:r>
          </w:p>
        </w:tc>
        <w:tc>
          <w:tcPr>
            <w:tcW w:w="1661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1700</w:t>
            </w:r>
          </w:p>
        </w:tc>
        <w:tc>
          <w:tcPr>
            <w:tcW w:w="1662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200</w:t>
            </w:r>
          </w:p>
        </w:tc>
        <w:tc>
          <w:tcPr>
            <w:tcW w:w="1661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375</w:t>
            </w:r>
          </w:p>
        </w:tc>
        <w:tc>
          <w:tcPr>
            <w:tcW w:w="1662" w:type="dxa"/>
          </w:tcPr>
          <w:p>
            <w:pPr>
              <w:wordWrap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027" w:type="dxa"/>
          </w:tcPr>
          <w:p>
            <w:pPr>
              <w:wordWrap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662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计算机应用</w:t>
            </w:r>
          </w:p>
        </w:tc>
        <w:tc>
          <w:tcPr>
            <w:tcW w:w="1661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090100</w:t>
            </w:r>
          </w:p>
        </w:tc>
        <w:tc>
          <w:tcPr>
            <w:tcW w:w="1662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中专</w:t>
            </w:r>
          </w:p>
        </w:tc>
        <w:tc>
          <w:tcPr>
            <w:tcW w:w="1662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全日制三年</w:t>
            </w:r>
          </w:p>
        </w:tc>
        <w:tc>
          <w:tcPr>
            <w:tcW w:w="1661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1700</w:t>
            </w:r>
          </w:p>
        </w:tc>
        <w:tc>
          <w:tcPr>
            <w:tcW w:w="1662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200</w:t>
            </w:r>
          </w:p>
        </w:tc>
        <w:tc>
          <w:tcPr>
            <w:tcW w:w="1661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375</w:t>
            </w:r>
          </w:p>
        </w:tc>
        <w:tc>
          <w:tcPr>
            <w:tcW w:w="1662" w:type="dxa"/>
          </w:tcPr>
          <w:p>
            <w:pPr>
              <w:wordWrap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wordWrap/>
        <w:jc w:val="left"/>
        <w:rPr>
          <w:rFonts w:hint="eastAsia"/>
          <w:sz w:val="24"/>
          <w:szCs w:val="24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417" w:right="1417" w:bottom="1417" w:left="1417" w:header="851" w:footer="992" w:gutter="0"/>
      <w:cols w:space="0" w:num="1"/>
      <w:rtlGutter w:val="0"/>
      <w:docGrid w:type="lines" w:linePitch="32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F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2D113"/>
    <w:multiLevelType w:val="singleLevel"/>
    <w:tmpl w:val="5722D113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2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821C67"/>
    <w:rsid w:val="11387E3E"/>
    <w:rsid w:val="19066448"/>
    <w:rsid w:val="3C81535E"/>
    <w:rsid w:val="4A8B1B66"/>
    <w:rsid w:val="5BE04B6F"/>
    <w:rsid w:val="5CB94AFD"/>
    <w:rsid w:val="5CFE2274"/>
    <w:rsid w:val="658B2F45"/>
    <w:rsid w:val="65E711A4"/>
    <w:rsid w:val="70610F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qFormat="1"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table" w:styleId="7">
    <w:name w:val="Medium Grid 1 Accent 1"/>
    <w:basedOn w:val="5"/>
    <w:qFormat/>
    <w:uiPriority w:val="67"/>
    <w:tblPr>
      <w:tblBorders>
        <w:top w:val="single" w:color="84B4DF" w:themeColor="accent1" w:themeTint="BF" w:sz="8" w:space="0"/>
        <w:left w:val="single" w:color="84B4DF" w:themeColor="accent1" w:themeTint="BF" w:sz="8" w:space="0"/>
        <w:bottom w:val="single" w:color="84B4DF" w:themeColor="accent1" w:themeTint="BF" w:sz="8" w:space="0"/>
        <w:right w:val="single" w:color="84B4DF" w:themeColor="accent1" w:themeTint="BF" w:sz="8" w:space="0"/>
        <w:insideH w:val="single" w:color="84B4DF" w:themeColor="accent1" w:themeTint="BF" w:sz="8" w:space="0"/>
        <w:insideV w:val="single" w:color="84B4DF" w:themeColor="accent1" w:themeTint="BF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>
        <w:tblLayout w:type="fixed"/>
      </w:tblPr>
      <w:tcPr>
        <w:tcBorders>
          <w:top w:val="single" w:color="84B4DF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ADCDEA" w:themeFill="accent1" w:themeFillTint="7F"/>
      </w:tcPr>
    </w:tblStylePr>
    <w:tblStylePr w:type="band1Horz">
      <w:tblPr>
        <w:tblLayout w:type="fixed"/>
      </w:tblPr>
      <w:tcPr>
        <w:shd w:val="clear" w:color="auto" w:fill="ADCDEA" w:themeFill="accent1" w:themeFillTint="7F"/>
      </w:tcPr>
    </w:tblStyle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2016-05-04T02:35:00Z</cp:lastPrinted>
  <dcterms:modified xsi:type="dcterms:W3CDTF">2017-05-04T08:34:01Z</dcterms:modified>
  <dc:title>广州市番禺区厂商会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