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vertAnchor="page" w:horzAnchor="margin" w:tblpXSpec="center" w:tblpY="1589"/>
        <w:tblW w:w="9639" w:type="dxa"/>
        <w:tblBorders>
          <w:bottom w:val="thinThickSmallGap" w:sz="24" w:space="0" w:color="FF0000"/>
        </w:tblBorders>
        <w:tblLayout w:type="fixed"/>
        <w:tblLook w:val="04A0"/>
      </w:tblPr>
      <w:tblGrid>
        <w:gridCol w:w="9639"/>
      </w:tblGrid>
      <w:tr w:rsidR="00CA4B98">
        <w:trPr>
          <w:trHeight w:hRule="exact" w:val="1201"/>
        </w:trPr>
        <w:tc>
          <w:tcPr>
            <w:tcW w:w="9639" w:type="dxa"/>
          </w:tcPr>
          <w:p w:rsidR="00CA4B98" w:rsidRDefault="00D15E39">
            <w:pPr>
              <w:jc w:val="distribute"/>
              <w:rPr>
                <w:rFonts w:ascii="公文小标宋简" w:eastAsia="公文小标宋简"/>
                <w:b/>
                <w:snapToGrid w:val="0"/>
                <w:color w:val="FF0000"/>
                <w:sz w:val="72"/>
                <w:szCs w:val="72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b/>
                <w:snapToGrid w:val="0"/>
                <w:color w:val="FF0000"/>
                <w:sz w:val="72"/>
                <w:szCs w:val="72"/>
              </w:rPr>
              <w:t>广州市</w:t>
            </w:r>
            <w:proofErr w:type="gramStart"/>
            <w:r>
              <w:rPr>
                <w:rFonts w:ascii="方正小标宋简体" w:eastAsia="方正小标宋简体" w:hAnsi="方正小标宋简体" w:cs="方正小标宋简体" w:hint="eastAsia"/>
                <w:b/>
                <w:snapToGrid w:val="0"/>
                <w:color w:val="FF0000"/>
                <w:sz w:val="72"/>
                <w:szCs w:val="72"/>
              </w:rPr>
              <w:t>番禺区</w:t>
            </w:r>
            <w:proofErr w:type="gramEnd"/>
            <w:r>
              <w:rPr>
                <w:rFonts w:ascii="方正小标宋简体" w:eastAsia="方正小标宋简体" w:hAnsi="方正小标宋简体" w:cs="方正小标宋简体" w:hint="eastAsia"/>
                <w:b/>
                <w:snapToGrid w:val="0"/>
                <w:color w:val="FF0000"/>
                <w:sz w:val="72"/>
                <w:szCs w:val="72"/>
              </w:rPr>
              <w:t>厂商会</w:t>
            </w:r>
          </w:p>
        </w:tc>
      </w:tr>
    </w:tbl>
    <w:p w:rsidR="00CA4B98" w:rsidRDefault="00CA4B98">
      <w:pPr>
        <w:rPr>
          <w:rFonts w:ascii="黑体" w:eastAsia="黑体" w:hAnsi="黑体" w:cs="黑体"/>
          <w:sz w:val="48"/>
          <w:szCs w:val="48"/>
        </w:rPr>
      </w:pPr>
    </w:p>
    <w:p w:rsidR="00CA4B98" w:rsidRDefault="00D15E39">
      <w:pPr>
        <w:jc w:val="center"/>
        <w:rPr>
          <w:rFonts w:ascii="仿宋" w:eastAsia="仿宋" w:hAnsi="仿宋" w:cs="仿宋"/>
          <w:b/>
          <w:bCs/>
          <w:sz w:val="44"/>
          <w:szCs w:val="44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关于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t>举行</w:t>
      </w:r>
      <w:r>
        <w:rPr>
          <w:rFonts w:ascii="仿宋" w:eastAsia="仿宋" w:hAnsi="仿宋" w:cs="仿宋" w:hint="eastAsia"/>
          <w:b/>
          <w:bCs/>
          <w:sz w:val="44"/>
          <w:szCs w:val="44"/>
          <w:shd w:val="clear" w:color="auto" w:fill="FFFFFF"/>
        </w:rPr>
        <w:t>企业涉税风险及</w:t>
      </w:r>
      <w:r>
        <w:rPr>
          <w:rFonts w:ascii="仿宋" w:eastAsia="仿宋" w:hAnsi="仿宋" w:cs="仿宋" w:hint="eastAsia"/>
          <w:b/>
          <w:bCs/>
          <w:sz w:val="44"/>
          <w:szCs w:val="44"/>
          <w:shd w:val="clear" w:color="auto" w:fill="FFFFFF"/>
        </w:rPr>
        <w:t>财务</w:t>
      </w:r>
      <w:r>
        <w:rPr>
          <w:rFonts w:ascii="仿宋" w:eastAsia="仿宋" w:hAnsi="仿宋" w:cs="仿宋" w:hint="eastAsia"/>
          <w:b/>
          <w:bCs/>
          <w:sz w:val="44"/>
          <w:szCs w:val="44"/>
          <w:shd w:val="clear" w:color="auto" w:fill="FFFFFF"/>
        </w:rPr>
        <w:t>人</w:t>
      </w:r>
      <w:r>
        <w:rPr>
          <w:rFonts w:ascii="仿宋" w:eastAsia="仿宋" w:hAnsi="仿宋" w:cs="仿宋" w:hint="eastAsia"/>
          <w:b/>
          <w:bCs/>
          <w:sz w:val="44"/>
          <w:szCs w:val="44"/>
          <w:shd w:val="clear" w:color="auto" w:fill="FFFFFF"/>
        </w:rPr>
        <w:t>员</w:t>
      </w:r>
      <w:r>
        <w:rPr>
          <w:rFonts w:ascii="仿宋" w:eastAsia="仿宋" w:hAnsi="仿宋" w:cs="仿宋" w:hint="eastAsia"/>
          <w:b/>
          <w:bCs/>
          <w:sz w:val="44"/>
          <w:szCs w:val="44"/>
          <w:shd w:val="clear" w:color="auto" w:fill="FFFFFF"/>
        </w:rPr>
        <w:t>从业</w:t>
      </w:r>
    </w:p>
    <w:p w:rsidR="00CA4B98" w:rsidRDefault="00D15E39">
      <w:pPr>
        <w:jc w:val="center"/>
      </w:pPr>
      <w:r>
        <w:rPr>
          <w:rFonts w:ascii="仿宋" w:eastAsia="仿宋" w:hAnsi="仿宋" w:cs="仿宋" w:hint="eastAsia"/>
          <w:b/>
          <w:bCs/>
          <w:sz w:val="44"/>
          <w:szCs w:val="44"/>
          <w:shd w:val="clear" w:color="auto" w:fill="FFFFFF"/>
        </w:rPr>
        <w:t>风险防范</w:t>
      </w:r>
      <w:r>
        <w:rPr>
          <w:rFonts w:ascii="仿宋" w:eastAsia="仿宋" w:hAnsi="仿宋" w:cs="仿宋" w:hint="eastAsia"/>
          <w:b/>
          <w:bCs/>
          <w:sz w:val="44"/>
          <w:szCs w:val="44"/>
          <w:shd w:val="clear" w:color="auto" w:fill="FFFFFF"/>
        </w:rPr>
        <w:t>专题培训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t>的通知</w:t>
      </w:r>
    </w:p>
    <w:p w:rsidR="00CA4B98" w:rsidRDefault="00D15E39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各有关企业：</w:t>
      </w:r>
    </w:p>
    <w:p w:rsidR="00CA4B98" w:rsidRDefault="00D15E39">
      <w:pPr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color w:val="00B0F0"/>
          <w:sz w:val="32"/>
          <w:szCs w:val="32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金</w:t>
      </w:r>
      <w:r>
        <w:rPr>
          <w:rFonts w:ascii="仿宋" w:eastAsia="仿宋" w:hAnsi="仿宋" w:cs="仿宋" w:hint="eastAsia"/>
          <w:sz w:val="32"/>
          <w:szCs w:val="32"/>
        </w:rPr>
        <w:t>税</w:t>
      </w:r>
      <w:r>
        <w:rPr>
          <w:rFonts w:ascii="仿宋" w:eastAsia="仿宋" w:hAnsi="仿宋" w:cs="仿宋" w:hint="eastAsia"/>
          <w:sz w:val="32"/>
          <w:szCs w:val="32"/>
        </w:rPr>
        <w:t>三</w:t>
      </w:r>
      <w:r>
        <w:rPr>
          <w:rFonts w:ascii="仿宋" w:eastAsia="仿宋" w:hAnsi="仿宋" w:cs="仿宋" w:hint="eastAsia"/>
          <w:sz w:val="32"/>
          <w:szCs w:val="32"/>
        </w:rPr>
        <w:t>期</w:t>
      </w:r>
      <w:r>
        <w:rPr>
          <w:rFonts w:ascii="仿宋" w:eastAsia="仿宋" w:hAnsi="仿宋" w:cs="仿宋" w:hint="eastAsia"/>
          <w:sz w:val="32"/>
          <w:szCs w:val="32"/>
        </w:rPr>
        <w:t>上线后，税务稽查趋严，“黑名单”和“联合惩戒”制度的出台，更是让企业主不敢偷税、漏税、逃税；在强大的大数据面前，企业和财务人员应该如何应对</w:t>
      </w:r>
      <w:r>
        <w:rPr>
          <w:rFonts w:ascii="仿宋" w:eastAsia="仿宋" w:hAnsi="仿宋" w:cs="仿宋" w:hint="eastAsia"/>
          <w:sz w:val="32"/>
          <w:szCs w:val="32"/>
        </w:rPr>
        <w:t>。为降低企业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涉税风险及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帮助财务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人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员做好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从业风险防范</w:t>
      </w:r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，</w:t>
      </w:r>
      <w:proofErr w:type="gramStart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现举行</w:t>
      </w:r>
      <w:proofErr w:type="gramEnd"/>
      <w:r>
        <w:rPr>
          <w:rFonts w:ascii="仿宋" w:eastAsia="仿宋" w:hAnsi="仿宋" w:cs="仿宋" w:hint="eastAsia"/>
          <w:sz w:val="32"/>
          <w:szCs w:val="32"/>
          <w:shd w:val="clear" w:color="auto" w:fill="FFFFFF"/>
        </w:rPr>
        <w:t>专题培训。</w:t>
      </w:r>
      <w:r>
        <w:rPr>
          <w:rFonts w:ascii="仿宋" w:eastAsia="仿宋" w:hAnsi="仿宋" w:cs="仿宋" w:hint="eastAsia"/>
          <w:sz w:val="32"/>
          <w:szCs w:val="32"/>
        </w:rPr>
        <w:t>课程内容丰富、实用、且针对性强，请各有关企业积极报名参与。</w:t>
      </w:r>
    </w:p>
    <w:p w:rsidR="00CA4B98" w:rsidRDefault="00D15E39">
      <w:pPr>
        <w:ind w:leftChars="304" w:left="638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一、培训时间：</w:t>
      </w:r>
      <w:r>
        <w:rPr>
          <w:rFonts w:ascii="仿宋" w:eastAsia="仿宋" w:hAnsi="仿宋" w:cs="仿宋" w:hint="eastAsia"/>
          <w:sz w:val="32"/>
          <w:szCs w:val="32"/>
        </w:rPr>
        <w:t>2020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28</w:t>
      </w:r>
      <w:r>
        <w:rPr>
          <w:rFonts w:ascii="仿宋" w:eastAsia="仿宋" w:hAnsi="仿宋" w:cs="仿宋" w:hint="eastAsia"/>
          <w:sz w:val="32"/>
          <w:szCs w:val="32"/>
        </w:rPr>
        <w:t>日（星期三）下午</w:t>
      </w:r>
      <w:r>
        <w:rPr>
          <w:rFonts w:ascii="仿宋" w:eastAsia="仿宋" w:hAnsi="仿宋" w:cs="仿宋" w:hint="eastAsia"/>
          <w:sz w:val="32"/>
          <w:szCs w:val="32"/>
        </w:rPr>
        <w:t>2:30</w:t>
      </w:r>
      <w:r>
        <w:rPr>
          <w:rFonts w:ascii="仿宋" w:eastAsia="仿宋" w:hAnsi="仿宋" w:cs="仿宋" w:hint="eastAsia"/>
          <w:sz w:val="32"/>
          <w:szCs w:val="32"/>
        </w:rPr>
        <w:t>时</w:t>
      </w:r>
    </w:p>
    <w:p w:rsidR="00CA4B98" w:rsidRDefault="00D15E3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三、培训地点：</w:t>
      </w:r>
      <w:r>
        <w:rPr>
          <w:rFonts w:ascii="仿宋" w:eastAsia="仿宋" w:hAnsi="仿宋" w:cs="仿宋" w:hint="eastAsia"/>
          <w:sz w:val="32"/>
          <w:szCs w:val="32"/>
        </w:rPr>
        <w:t>厂商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会大厦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楼会议室（市桥街盛泰路盛兴大街</w:t>
      </w:r>
      <w:r>
        <w:rPr>
          <w:rFonts w:ascii="仿宋" w:eastAsia="仿宋" w:hAnsi="仿宋" w:cs="仿宋" w:hint="eastAsia"/>
          <w:sz w:val="32"/>
          <w:szCs w:val="32"/>
        </w:rPr>
        <w:t>31</w:t>
      </w:r>
      <w:r>
        <w:rPr>
          <w:rFonts w:ascii="仿宋" w:eastAsia="仿宋" w:hAnsi="仿宋" w:cs="仿宋" w:hint="eastAsia"/>
          <w:sz w:val="32"/>
          <w:szCs w:val="32"/>
        </w:rPr>
        <w:t>号）</w:t>
      </w:r>
    </w:p>
    <w:p w:rsidR="00CA4B98" w:rsidRDefault="00D15E3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四、培训对象：</w:t>
      </w:r>
      <w:r>
        <w:rPr>
          <w:rFonts w:ascii="仿宋" w:eastAsia="仿宋" w:hAnsi="仿宋" w:cs="仿宋" w:hint="eastAsia"/>
          <w:sz w:val="32"/>
          <w:szCs w:val="32"/>
        </w:rPr>
        <w:t>企业财务人员。</w:t>
      </w:r>
    </w:p>
    <w:p w:rsidR="00CA4B98" w:rsidRDefault="00D15E39">
      <w:pPr>
        <w:ind w:firstLineChars="200" w:firstLine="643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五、培训人数：</w:t>
      </w:r>
      <w:r>
        <w:rPr>
          <w:rFonts w:ascii="仿宋" w:eastAsia="仿宋" w:hAnsi="仿宋" w:cs="仿宋" w:hint="eastAsia"/>
          <w:sz w:val="32"/>
          <w:szCs w:val="32"/>
        </w:rPr>
        <w:t>40</w:t>
      </w:r>
      <w:r>
        <w:rPr>
          <w:rFonts w:ascii="仿宋" w:eastAsia="仿宋" w:hAnsi="仿宋" w:cs="仿宋" w:hint="eastAsia"/>
          <w:sz w:val="32"/>
          <w:szCs w:val="32"/>
        </w:rPr>
        <w:t>人，先报先得。</w:t>
      </w:r>
    </w:p>
    <w:p w:rsidR="00CA4B98" w:rsidRDefault="00D15E39">
      <w:pPr>
        <w:ind w:firstLineChars="200" w:firstLine="643"/>
        <w:rPr>
          <w:rFonts w:ascii="微软雅黑" w:eastAsia="微软雅黑" w:hAnsi="微软雅黑"/>
          <w:color w:val="C00000"/>
          <w:sz w:val="24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六、学习内容：</w:t>
      </w:r>
    </w:p>
    <w:p w:rsidR="00CA4B98" w:rsidRDefault="00D15E39">
      <w:pPr>
        <w:ind w:firstLineChars="100" w:firstLine="321"/>
        <w:rPr>
          <w:rFonts w:ascii="仿宋" w:eastAsia="仿宋" w:hAnsi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（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一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）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税局稽查利器：金三系统及其影响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全面了解金三系统的特点及监管逻辑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。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纳税信用、黑名单制度给企业和会计带来哪些影响？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金三再升级，金三的监管措施要注意哪些？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4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新征管模式下，财务人员需要避开哪些认知误区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？</w:t>
      </w:r>
    </w:p>
    <w:p w:rsidR="00CA4B98" w:rsidRDefault="00D15E39">
      <w:pPr>
        <w:ind w:firstLineChars="100" w:firstLine="321"/>
        <w:rPr>
          <w:rFonts w:ascii="仿宋" w:eastAsia="仿宋" w:hAnsi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lastRenderedPageBreak/>
        <w:t>（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二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）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企业无税可逃：金三大数据及其影响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了解金三大数据的监管流程和数据模型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。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金三大数据分析的信息来自哪里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？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案例分析：税局如何锁定稽查对象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？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4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稽查方式改变，企业面临哪些挑战，如何应对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？</w:t>
      </w:r>
    </w:p>
    <w:p w:rsidR="00CA4B98" w:rsidRDefault="00D15E39">
      <w:pPr>
        <w:ind w:firstLineChars="100" w:firstLine="321"/>
        <w:rPr>
          <w:rFonts w:ascii="仿宋" w:eastAsia="仿宋" w:hAnsi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（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三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）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风险指标解析：增值税税务风险提示及稽查重点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异常凭证的监控要点，企业如何应对风险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？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上游企业走逃，导致进项发票不能抵扣，如何减少损失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？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企业进销项不匹配，埋下风险隐患，如何提前排雷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？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4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销项发票、进项抵扣风险监控指标有哪些？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5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增值税税负监控，如何了解同行税负？你税负达标吗？</w:t>
      </w:r>
    </w:p>
    <w:p w:rsidR="00CA4B98" w:rsidRDefault="00D15E39">
      <w:pPr>
        <w:ind w:firstLineChars="100" w:firstLine="321"/>
        <w:rPr>
          <w:rFonts w:ascii="仿宋" w:eastAsia="仿宋" w:hAnsi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（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四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）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风险指标解析：企业所得税税务风险提示及稽查重点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何为企业所得税贡献率？税局如何监控这一指标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？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税收优惠涉税风险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风险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，税局关注的要点在哪里？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3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收入、成本、费用等隐藏哪些涉税风险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？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4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案例分析：财务报表涉税风险指标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？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5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不同税种之间的勾</w:t>
      </w:r>
      <w:proofErr w:type="gramStart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稽</w:t>
      </w:r>
      <w:proofErr w:type="gramEnd"/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关系，税局关注哪些点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？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6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企业应对策略及规避风险建议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？</w:t>
      </w:r>
    </w:p>
    <w:p w:rsidR="00CA4B98" w:rsidRDefault="00D15E39">
      <w:pPr>
        <w:ind w:firstLineChars="100" w:firstLine="321"/>
        <w:rPr>
          <w:rFonts w:ascii="仿宋" w:eastAsia="仿宋" w:hAnsi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（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五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）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风险无处不在：金三对第三方信息的监控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1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金三之下，企业变身“小透明”，税局收集哪些信息，你清楚吗？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2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案例分析：税局如何利用第三方信息，揪出稽查对象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lastRenderedPageBreak/>
        <w:t>3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POS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机、拍卖等数据信息，会带来哪些风险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4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涉税信息采集分析平台，哪些信息要点被监控</w:t>
      </w:r>
    </w:p>
    <w:p w:rsidR="00CA4B98" w:rsidRDefault="00D15E39">
      <w:pPr>
        <w:pStyle w:val="a4"/>
        <w:ind w:firstLine="640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5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、</w:t>
      </w:r>
      <w:r>
        <w:rPr>
          <w:rFonts w:ascii="仿宋" w:eastAsia="仿宋" w:hAnsi="仿宋" w:cs="仿宋" w:hint="eastAsia"/>
          <w:color w:val="000000"/>
          <w:sz w:val="32"/>
          <w:szCs w:val="32"/>
          <w:shd w:val="clear" w:color="auto" w:fill="FFFFFF"/>
        </w:rPr>
        <w:t>风险应对难上加难，财会人员如何有效解决？</w:t>
      </w:r>
    </w:p>
    <w:p w:rsidR="00CA4B98" w:rsidRDefault="00D15E39">
      <w:pPr>
        <w:pStyle w:val="a4"/>
        <w:ind w:firstLineChars="0" w:firstLine="0"/>
        <w:rPr>
          <w:rFonts w:ascii="仿宋" w:eastAsia="仿宋" w:hAnsi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  <w:shd w:val="clear" w:color="auto" w:fill="FFFFFF"/>
        </w:rPr>
        <w:t>（六）双循环发展新格局下的金融应对。</w:t>
      </w:r>
    </w:p>
    <w:p w:rsidR="00CA4B98" w:rsidRPr="001827C6" w:rsidRDefault="00D15E39" w:rsidP="001827C6">
      <w:pPr>
        <w:ind w:firstLine="42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七、课程费用：</w:t>
      </w:r>
      <w:r>
        <w:rPr>
          <w:rFonts w:ascii="仿宋" w:eastAsia="仿宋" w:hAnsi="仿宋" w:cs="仿宋" w:hint="eastAsia"/>
          <w:sz w:val="32"/>
          <w:szCs w:val="32"/>
        </w:rPr>
        <w:t>免费。</w:t>
      </w:r>
      <w:r w:rsidR="001827C6">
        <w:rPr>
          <w:rFonts w:ascii="仿宋" w:eastAsia="仿宋" w:hAnsi="仿宋" w:cs="仿宋"/>
          <w:color w:val="FF0000"/>
          <w:sz w:val="32"/>
          <w:szCs w:val="32"/>
        </w:rPr>
        <w:t xml:space="preserve"> </w:t>
      </w:r>
    </w:p>
    <w:p w:rsidR="00CA4B98" w:rsidRDefault="00CA4B98">
      <w:pPr>
        <w:ind w:firstLine="640"/>
        <w:rPr>
          <w:rFonts w:ascii="仿宋" w:eastAsia="仿宋" w:hAnsi="仿宋" w:cs="仿宋"/>
          <w:color w:val="FF0000"/>
          <w:sz w:val="32"/>
          <w:szCs w:val="32"/>
        </w:rPr>
      </w:pPr>
    </w:p>
    <w:p w:rsidR="00CA4B98" w:rsidRDefault="00CA4B98">
      <w:pPr>
        <w:ind w:firstLine="640"/>
        <w:rPr>
          <w:rFonts w:ascii="仿宋" w:eastAsia="仿宋" w:hAnsi="仿宋" w:cs="仿宋"/>
          <w:color w:val="FF0000"/>
          <w:sz w:val="32"/>
          <w:szCs w:val="32"/>
        </w:rPr>
      </w:pPr>
    </w:p>
    <w:p w:rsidR="00CA4B98" w:rsidRDefault="00D15E39">
      <w:pPr>
        <w:ind w:firstLineChars="1900" w:firstLine="6080"/>
        <w:rPr>
          <w:rFonts w:ascii="仿宋" w:eastAsia="仿宋" w:hAnsi="仿宋" w:cs="仿宋"/>
          <w:sz w:val="32"/>
          <w:szCs w:val="32"/>
        </w:rPr>
      </w:pPr>
      <w:proofErr w:type="gramStart"/>
      <w:r>
        <w:rPr>
          <w:rFonts w:ascii="仿宋" w:eastAsia="仿宋" w:hAnsi="仿宋" w:cs="仿宋" w:hint="eastAsia"/>
          <w:sz w:val="32"/>
          <w:szCs w:val="32"/>
        </w:rPr>
        <w:t>番禺区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厂商会</w:t>
      </w:r>
    </w:p>
    <w:p w:rsidR="00CA4B98" w:rsidRDefault="00D15E39">
      <w:pPr>
        <w:ind w:firstLineChars="1800" w:firstLine="576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2020</w:t>
      </w:r>
      <w:r>
        <w:rPr>
          <w:rFonts w:ascii="仿宋" w:eastAsia="仿宋" w:hAnsi="仿宋" w:cs="仿宋" w:hint="eastAsia"/>
          <w:sz w:val="32"/>
          <w:szCs w:val="32"/>
        </w:rPr>
        <w:t>年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月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日</w:t>
      </w:r>
      <w:r>
        <w:rPr>
          <w:rFonts w:ascii="仿宋" w:eastAsia="仿宋" w:hAnsi="仿宋" w:cs="仿宋" w:hint="eastAsia"/>
          <w:sz w:val="32"/>
          <w:szCs w:val="32"/>
        </w:rPr>
        <w:t xml:space="preserve">                                </w:t>
      </w:r>
    </w:p>
    <w:p w:rsidR="00CA4B98" w:rsidRDefault="00D15E3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联系人：苏先生</w:t>
      </w:r>
    </w:p>
    <w:p w:rsidR="00CA4B98" w:rsidRDefault="00D15E39">
      <w:pPr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联系电话：</w:t>
      </w:r>
      <w:r>
        <w:rPr>
          <w:rFonts w:ascii="仿宋" w:eastAsia="仿宋" w:hAnsi="仿宋" w:cs="仿宋" w:hint="eastAsia"/>
          <w:sz w:val="32"/>
          <w:szCs w:val="32"/>
        </w:rPr>
        <w:t>84649162</w:t>
      </w:r>
      <w:r>
        <w:rPr>
          <w:rFonts w:ascii="仿宋" w:eastAsia="仿宋" w:hAnsi="仿宋" w:cs="仿宋" w:hint="eastAsia"/>
          <w:sz w:val="32"/>
          <w:szCs w:val="32"/>
        </w:rPr>
        <w:t>、</w:t>
      </w:r>
      <w:r>
        <w:rPr>
          <w:rFonts w:ascii="仿宋" w:eastAsia="仿宋" w:hAnsi="仿宋" w:cs="仿宋" w:hint="eastAsia"/>
          <w:sz w:val="32"/>
          <w:szCs w:val="32"/>
        </w:rPr>
        <w:t>13431072772</w:t>
      </w:r>
    </w:p>
    <w:p w:rsidR="00CA4B98" w:rsidRDefault="00D15E39">
      <w:pPr>
        <w:ind w:firstLineChars="200" w:firstLine="640"/>
        <w:rPr>
          <w:rFonts w:ascii="仿宋" w:eastAsia="仿宋" w:hAnsi="仿宋" w:cs="仿宋" w:hint="eastAsia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电子邮箱：</w:t>
      </w:r>
      <w:hyperlink r:id="rId7" w:history="1">
        <w:r w:rsidR="001827C6" w:rsidRPr="009B050A">
          <w:rPr>
            <w:rStyle w:val="a7"/>
            <w:rFonts w:ascii="仿宋" w:eastAsia="仿宋" w:hAnsi="仿宋" w:cs="仿宋" w:hint="eastAsia"/>
            <w:sz w:val="32"/>
            <w:szCs w:val="32"/>
          </w:rPr>
          <w:t>2429266614@qq.com</w:t>
        </w:r>
      </w:hyperlink>
    </w:p>
    <w:p w:rsidR="001827C6" w:rsidRDefault="001827C6">
      <w:pPr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CA4B98" w:rsidRDefault="00D15E39">
      <w:pPr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         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参会回执</w:t>
      </w:r>
    </w:p>
    <w:tbl>
      <w:tblPr>
        <w:tblStyle w:val="a3"/>
        <w:tblW w:w="0" w:type="auto"/>
        <w:tblLook w:val="04A0"/>
      </w:tblPr>
      <w:tblGrid>
        <w:gridCol w:w="3656"/>
        <w:gridCol w:w="2235"/>
        <w:gridCol w:w="2965"/>
      </w:tblGrid>
      <w:tr w:rsidR="00CA4B98">
        <w:tc>
          <w:tcPr>
            <w:tcW w:w="3656" w:type="dxa"/>
          </w:tcPr>
          <w:p w:rsidR="00CA4B98" w:rsidRDefault="00D15E39">
            <w:pPr>
              <w:ind w:firstLineChars="300" w:firstLine="96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企业名称</w:t>
            </w:r>
          </w:p>
        </w:tc>
        <w:tc>
          <w:tcPr>
            <w:tcW w:w="2235" w:type="dxa"/>
          </w:tcPr>
          <w:p w:rsidR="00CA4B98" w:rsidRDefault="00D15E39">
            <w:pPr>
              <w:ind w:firstLineChars="100" w:firstLine="32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参会代表</w:t>
            </w:r>
          </w:p>
        </w:tc>
        <w:tc>
          <w:tcPr>
            <w:tcW w:w="2965" w:type="dxa"/>
          </w:tcPr>
          <w:p w:rsidR="00CA4B98" w:rsidRDefault="00D15E39">
            <w:pPr>
              <w:ind w:firstLineChars="200" w:firstLine="640"/>
              <w:rPr>
                <w:rFonts w:ascii="仿宋" w:eastAsia="仿宋" w:hAnsi="仿宋" w:cs="仿宋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sz w:val="32"/>
                <w:szCs w:val="32"/>
              </w:rPr>
              <w:t>手机号码</w:t>
            </w:r>
          </w:p>
        </w:tc>
      </w:tr>
      <w:tr w:rsidR="00CA4B98">
        <w:tc>
          <w:tcPr>
            <w:tcW w:w="3656" w:type="dxa"/>
          </w:tcPr>
          <w:p w:rsidR="00CA4B98" w:rsidRDefault="00CA4B9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235" w:type="dxa"/>
          </w:tcPr>
          <w:p w:rsidR="00CA4B98" w:rsidRDefault="00CA4B9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965" w:type="dxa"/>
          </w:tcPr>
          <w:p w:rsidR="00CA4B98" w:rsidRDefault="00CA4B9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  <w:tr w:rsidR="00CA4B98">
        <w:tc>
          <w:tcPr>
            <w:tcW w:w="3656" w:type="dxa"/>
          </w:tcPr>
          <w:p w:rsidR="00CA4B98" w:rsidRDefault="00CA4B9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235" w:type="dxa"/>
          </w:tcPr>
          <w:p w:rsidR="00CA4B98" w:rsidRDefault="00CA4B9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  <w:tc>
          <w:tcPr>
            <w:tcW w:w="2965" w:type="dxa"/>
          </w:tcPr>
          <w:p w:rsidR="00CA4B98" w:rsidRDefault="00CA4B98">
            <w:pPr>
              <w:rPr>
                <w:rFonts w:ascii="仿宋" w:eastAsia="仿宋" w:hAnsi="仿宋" w:cs="仿宋"/>
                <w:sz w:val="32"/>
                <w:szCs w:val="32"/>
              </w:rPr>
            </w:pPr>
          </w:p>
        </w:tc>
      </w:tr>
    </w:tbl>
    <w:p w:rsidR="00CA4B98" w:rsidRDefault="00CA4B98">
      <w:pPr>
        <w:rPr>
          <w:rFonts w:ascii="仿宋" w:eastAsia="仿宋" w:hAnsi="仿宋" w:cs="仿宋"/>
          <w:sz w:val="32"/>
          <w:szCs w:val="32"/>
        </w:rPr>
      </w:pPr>
    </w:p>
    <w:p w:rsidR="00CA4B98" w:rsidRDefault="00CA4B98">
      <w:pPr>
        <w:rPr>
          <w:rFonts w:ascii="仿宋" w:eastAsia="仿宋" w:hAnsi="仿宋" w:cs="仿宋"/>
          <w:sz w:val="32"/>
          <w:szCs w:val="32"/>
        </w:rPr>
      </w:pPr>
    </w:p>
    <w:p w:rsidR="00CA4B98" w:rsidRDefault="00CA4B98">
      <w:pPr>
        <w:rPr>
          <w:rFonts w:ascii="仿宋" w:eastAsia="仿宋" w:hAnsi="仿宋" w:cs="仿宋"/>
          <w:sz w:val="32"/>
          <w:szCs w:val="32"/>
        </w:rPr>
      </w:pPr>
    </w:p>
    <w:p w:rsidR="00CA4B98" w:rsidRDefault="00D15E39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附件：</w:t>
      </w:r>
    </w:p>
    <w:p w:rsidR="00CA4B98" w:rsidRDefault="00D15E39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 xml:space="preserve">                 </w:t>
      </w:r>
    </w:p>
    <w:p w:rsidR="00CA4B98" w:rsidRDefault="00D15E39">
      <w:pPr>
        <w:ind w:firstLineChars="900" w:firstLine="2880"/>
        <w:rPr>
          <w:rFonts w:ascii="仿宋" w:eastAsia="仿宋" w:hAnsi="仿宋" w:cs="仿宋"/>
          <w:b/>
          <w:bCs/>
          <w:sz w:val="44"/>
          <w:szCs w:val="44"/>
        </w:rPr>
      </w:pPr>
      <w:bookmarkStart w:id="0" w:name="_GoBack"/>
      <w:bookmarkEnd w:id="0"/>
      <w:r>
        <w:rPr>
          <w:rFonts w:ascii="仿宋" w:eastAsia="仿宋" w:hAnsi="仿宋" w:cs="仿宋" w:hint="eastAsia"/>
          <w:sz w:val="32"/>
          <w:szCs w:val="32"/>
        </w:rPr>
        <w:lastRenderedPageBreak/>
        <w:t xml:space="preserve">    </w:t>
      </w:r>
      <w:r>
        <w:rPr>
          <w:rFonts w:ascii="仿宋" w:eastAsia="仿宋" w:hAnsi="仿宋" w:cs="仿宋" w:hint="eastAsia"/>
          <w:b/>
          <w:bCs/>
          <w:sz w:val="44"/>
          <w:szCs w:val="44"/>
        </w:rPr>
        <w:t>讲师介绍</w:t>
      </w:r>
    </w:p>
    <w:p w:rsidR="00CA4B98" w:rsidRDefault="00D15E39">
      <w:pPr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廖娟老师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 xml:space="preserve">   </w:t>
      </w:r>
      <w:r>
        <w:rPr>
          <w:rFonts w:ascii="仿宋" w:eastAsia="仿宋" w:hAnsi="仿宋" w:cs="仿宋" w:hint="eastAsia"/>
          <w:b/>
          <w:bCs/>
          <w:sz w:val="32"/>
          <w:szCs w:val="32"/>
        </w:rPr>
        <w:t>财税实操专家</w:t>
      </w:r>
    </w:p>
    <w:p w:rsidR="00CA4B98" w:rsidRDefault="00D15E39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60960</wp:posOffset>
            </wp:positionV>
            <wp:extent cx="1469390" cy="1800225"/>
            <wp:effectExtent l="0" t="0" r="0" b="952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CustomData="http://www.wps.cn/officeDocument/2013/wpsCustomData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0="urn:schemas-microsoft-com:office:word" xmlns:w14="http://schemas.microsoft.com/office/word/2010/wordml" xmlns:w="http://schemas.openxmlformats.org/wordprocessingml/2006/main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9290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sz w:val="32"/>
          <w:szCs w:val="32"/>
        </w:rPr>
        <w:t>理道授权讲师，理道税务风险管理合伙人、高级咨询顾问。</w:t>
      </w:r>
    </w:p>
    <w:p w:rsidR="00CA4B98" w:rsidRDefault="00D15E39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金三纳税实操专家，中山大学</w:t>
      </w:r>
      <w:r>
        <w:rPr>
          <w:rFonts w:ascii="仿宋" w:eastAsia="仿宋" w:hAnsi="仿宋" w:cs="仿宋" w:hint="eastAsia"/>
          <w:sz w:val="32"/>
          <w:szCs w:val="32"/>
        </w:rPr>
        <w:t>EMBA</w:t>
      </w:r>
      <w:r>
        <w:rPr>
          <w:rFonts w:ascii="仿宋" w:eastAsia="仿宋" w:hAnsi="仿宋" w:cs="仿宋" w:hint="eastAsia"/>
          <w:sz w:val="32"/>
          <w:szCs w:val="32"/>
        </w:rPr>
        <w:t>，曾任职知名外企</w:t>
      </w:r>
      <w:r>
        <w:rPr>
          <w:rFonts w:ascii="仿宋" w:eastAsia="仿宋" w:hAnsi="仿宋" w:cs="仿宋" w:hint="eastAsia"/>
          <w:sz w:val="32"/>
          <w:szCs w:val="32"/>
        </w:rPr>
        <w:t>10</w:t>
      </w:r>
      <w:r>
        <w:rPr>
          <w:rFonts w:ascii="仿宋" w:eastAsia="仿宋" w:hAnsi="仿宋" w:cs="仿宋" w:hint="eastAsia"/>
          <w:sz w:val="32"/>
          <w:szCs w:val="32"/>
        </w:rPr>
        <w:t>余年；拥有</w:t>
      </w:r>
      <w:r>
        <w:rPr>
          <w:rFonts w:ascii="仿宋" w:eastAsia="仿宋" w:hAnsi="仿宋" w:cs="仿宋" w:hint="eastAsia"/>
          <w:sz w:val="32"/>
          <w:szCs w:val="32"/>
        </w:rPr>
        <w:t>20</w:t>
      </w:r>
      <w:r>
        <w:rPr>
          <w:rFonts w:ascii="仿宋" w:eastAsia="仿宋" w:hAnsi="仿宋" w:cs="仿宋" w:hint="eastAsia"/>
          <w:sz w:val="32"/>
          <w:szCs w:val="32"/>
        </w:rPr>
        <w:t>多年企业财税管理经验。</w:t>
      </w:r>
    </w:p>
    <w:p w:rsidR="00CA4B98" w:rsidRDefault="00D15E39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廖老师熟悉企业日常税务风险管理，对政策有深刻理解，擅长合理筹划解决企业税务问题，同时又有丰富实操执行经验，服务过包括生产快销品行业、房地产开发行业、现代服务业、传统生产企业等行业，特别熟悉进出口业务、关联交易业务、支付境外费用、固定资产投资、房地产开发等业务税务管理与筹划；各类企业日常税务风险管理，税务稽查应对及与税局交往等实操业务。</w:t>
      </w:r>
    </w:p>
    <w:p w:rsidR="00CA4B98" w:rsidRDefault="00D15E39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廖老师目前主要从事企业税务咨询筹划和培训业务。</w:t>
      </w:r>
    </w:p>
    <w:p w:rsidR="00CA4B98" w:rsidRDefault="00CA4B98">
      <w:pPr>
        <w:rPr>
          <w:rFonts w:ascii="仿宋" w:eastAsia="仿宋" w:hAnsi="仿宋" w:cs="仿宋"/>
          <w:sz w:val="32"/>
          <w:szCs w:val="32"/>
        </w:rPr>
      </w:pPr>
    </w:p>
    <w:p w:rsidR="00CA4B98" w:rsidRDefault="00CA4B98"/>
    <w:p w:rsidR="00CA4B98" w:rsidRDefault="00CA4B98"/>
    <w:sectPr w:rsidR="00CA4B98" w:rsidSect="00CA4B98">
      <w:pgSz w:w="11906" w:h="16838"/>
      <w:pgMar w:top="1157" w:right="1519" w:bottom="1440" w:left="1519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5E39" w:rsidRDefault="00D15E39" w:rsidP="001827C6">
      <w:r>
        <w:separator/>
      </w:r>
    </w:p>
  </w:endnote>
  <w:endnote w:type="continuationSeparator" w:id="0">
    <w:p w:rsidR="00D15E39" w:rsidRDefault="00D15E39" w:rsidP="001827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公文小标宋简">
    <w:altName w:val="宋体"/>
    <w:charset w:val="86"/>
    <w:family w:val="modern"/>
    <w:pitch w:val="default"/>
    <w:sig w:usb0="00000000" w:usb1="00000000" w:usb2="00000000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5E39" w:rsidRDefault="00D15E39" w:rsidP="001827C6">
      <w:r>
        <w:separator/>
      </w:r>
    </w:p>
  </w:footnote>
  <w:footnote w:type="continuationSeparator" w:id="0">
    <w:p w:rsidR="00D15E39" w:rsidRDefault="00D15E39" w:rsidP="001827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30247C5"/>
    <w:rsid w:val="001827C6"/>
    <w:rsid w:val="00CA4B98"/>
    <w:rsid w:val="00D15E39"/>
    <w:rsid w:val="032F6577"/>
    <w:rsid w:val="14D10ABE"/>
    <w:rsid w:val="17B16209"/>
    <w:rsid w:val="17B71BA8"/>
    <w:rsid w:val="1C9C7127"/>
    <w:rsid w:val="21371928"/>
    <w:rsid w:val="23AE1C91"/>
    <w:rsid w:val="287500FF"/>
    <w:rsid w:val="2C6A3EF4"/>
    <w:rsid w:val="330247C5"/>
    <w:rsid w:val="3621133D"/>
    <w:rsid w:val="46C85531"/>
    <w:rsid w:val="482B1D47"/>
    <w:rsid w:val="51936679"/>
    <w:rsid w:val="545A566D"/>
    <w:rsid w:val="55550005"/>
    <w:rsid w:val="57296774"/>
    <w:rsid w:val="604E5EBA"/>
    <w:rsid w:val="691E574B"/>
    <w:rsid w:val="76EE3C68"/>
    <w:rsid w:val="78227069"/>
    <w:rsid w:val="78A308CB"/>
    <w:rsid w:val="7C573BE5"/>
    <w:rsid w:val="7F853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4B9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CA4B9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4B98"/>
    <w:pPr>
      <w:ind w:firstLineChars="200" w:firstLine="420"/>
    </w:pPr>
  </w:style>
  <w:style w:type="paragraph" w:styleId="a5">
    <w:name w:val="header"/>
    <w:basedOn w:val="a"/>
    <w:link w:val="Char"/>
    <w:rsid w:val="001827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1827C6"/>
    <w:rPr>
      <w:rFonts w:ascii="Calibri" w:eastAsia="宋体" w:hAnsi="Calibri" w:cs="Times New Roman"/>
      <w:kern w:val="2"/>
      <w:sz w:val="18"/>
      <w:szCs w:val="18"/>
    </w:rPr>
  </w:style>
  <w:style w:type="paragraph" w:styleId="a6">
    <w:name w:val="footer"/>
    <w:basedOn w:val="a"/>
    <w:link w:val="Char0"/>
    <w:rsid w:val="001827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1827C6"/>
    <w:rPr>
      <w:rFonts w:ascii="Calibri" w:eastAsia="宋体" w:hAnsi="Calibri" w:cs="Times New Roman"/>
      <w:kern w:val="2"/>
      <w:sz w:val="18"/>
      <w:szCs w:val="18"/>
    </w:rPr>
  </w:style>
  <w:style w:type="character" w:styleId="a7">
    <w:name w:val="Hyperlink"/>
    <w:basedOn w:val="a0"/>
    <w:rsid w:val="001827C6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2429266614@qq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</cp:revision>
  <dcterms:created xsi:type="dcterms:W3CDTF">2020-09-09T07:13:00Z</dcterms:created>
  <dcterms:modified xsi:type="dcterms:W3CDTF">2020-10-21T03:00:00Z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