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XSpec="center" w:tblpY="1589"/>
        <w:tblW w:w="9639" w:type="dxa"/>
        <w:tblBorders>
          <w:bottom w:val="thinThickSmallGap" w:sz="24" w:space="0" w:color="FF0000"/>
        </w:tblBorders>
        <w:tblLayout w:type="fixed"/>
        <w:tblLook w:val="04A0"/>
      </w:tblPr>
      <w:tblGrid>
        <w:gridCol w:w="9639"/>
      </w:tblGrid>
      <w:tr w:rsidR="00CA4B98">
        <w:trPr>
          <w:trHeight w:hRule="exact" w:val="1201"/>
        </w:trPr>
        <w:tc>
          <w:tcPr>
            <w:tcW w:w="9639" w:type="dxa"/>
          </w:tcPr>
          <w:p w:rsidR="00CA4B98" w:rsidRDefault="00D15E39">
            <w:pPr>
              <w:jc w:val="distribute"/>
              <w:rPr>
                <w:rFonts w:ascii="公文小标宋简" w:eastAsia="公文小标宋简"/>
                <w:b/>
                <w:snapToGrid w:val="0"/>
                <w:color w:val="FF0000"/>
                <w:sz w:val="72"/>
                <w:szCs w:val="7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snapToGrid w:val="0"/>
                <w:color w:val="FF0000"/>
                <w:sz w:val="72"/>
                <w:szCs w:val="72"/>
              </w:rPr>
              <w:t>广州市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/>
                <w:snapToGrid w:val="0"/>
                <w:color w:val="FF0000"/>
                <w:sz w:val="72"/>
                <w:szCs w:val="72"/>
              </w:rPr>
              <w:t>番禺区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/>
                <w:snapToGrid w:val="0"/>
                <w:color w:val="FF0000"/>
                <w:sz w:val="72"/>
                <w:szCs w:val="72"/>
              </w:rPr>
              <w:t>厂商会</w:t>
            </w:r>
          </w:p>
        </w:tc>
      </w:tr>
    </w:tbl>
    <w:p w:rsidR="00CA4B98" w:rsidRDefault="00CA4B98">
      <w:pPr>
        <w:rPr>
          <w:rFonts w:ascii="黑体" w:eastAsia="黑体" w:hAnsi="黑体" w:cs="黑体"/>
          <w:sz w:val="48"/>
          <w:szCs w:val="48"/>
        </w:rPr>
      </w:pPr>
    </w:p>
    <w:p w:rsidR="00CA4B98" w:rsidRDefault="00D15E39">
      <w:pPr>
        <w:jc w:val="center"/>
        <w:rPr>
          <w:rFonts w:ascii="仿宋" w:eastAsia="仿宋" w:hAnsi="仿宋" w:cs="仿宋"/>
          <w:b/>
          <w:bCs/>
          <w:sz w:val="44"/>
          <w:szCs w:val="4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关于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举行</w:t>
      </w:r>
      <w:r>
        <w:rPr>
          <w:rFonts w:ascii="仿宋" w:eastAsia="仿宋" w:hAnsi="仿宋" w:cs="仿宋" w:hint="eastAsia"/>
          <w:b/>
          <w:bCs/>
          <w:sz w:val="44"/>
          <w:szCs w:val="44"/>
          <w:shd w:val="clear" w:color="auto" w:fill="FFFFFF"/>
        </w:rPr>
        <w:t>企业涉税风险及</w:t>
      </w:r>
      <w:r>
        <w:rPr>
          <w:rFonts w:ascii="仿宋" w:eastAsia="仿宋" w:hAnsi="仿宋" w:cs="仿宋" w:hint="eastAsia"/>
          <w:b/>
          <w:bCs/>
          <w:sz w:val="44"/>
          <w:szCs w:val="44"/>
          <w:shd w:val="clear" w:color="auto" w:fill="FFFFFF"/>
        </w:rPr>
        <w:t>财务</w:t>
      </w:r>
      <w:r>
        <w:rPr>
          <w:rFonts w:ascii="仿宋" w:eastAsia="仿宋" w:hAnsi="仿宋" w:cs="仿宋" w:hint="eastAsia"/>
          <w:b/>
          <w:bCs/>
          <w:sz w:val="44"/>
          <w:szCs w:val="44"/>
          <w:shd w:val="clear" w:color="auto" w:fill="FFFFFF"/>
        </w:rPr>
        <w:t>人</w:t>
      </w:r>
      <w:r>
        <w:rPr>
          <w:rFonts w:ascii="仿宋" w:eastAsia="仿宋" w:hAnsi="仿宋" w:cs="仿宋" w:hint="eastAsia"/>
          <w:b/>
          <w:bCs/>
          <w:sz w:val="44"/>
          <w:szCs w:val="44"/>
          <w:shd w:val="clear" w:color="auto" w:fill="FFFFFF"/>
        </w:rPr>
        <w:t>员</w:t>
      </w:r>
      <w:r>
        <w:rPr>
          <w:rFonts w:ascii="仿宋" w:eastAsia="仿宋" w:hAnsi="仿宋" w:cs="仿宋" w:hint="eastAsia"/>
          <w:b/>
          <w:bCs/>
          <w:sz w:val="44"/>
          <w:szCs w:val="44"/>
          <w:shd w:val="clear" w:color="auto" w:fill="FFFFFF"/>
        </w:rPr>
        <w:t>从业</w:t>
      </w:r>
    </w:p>
    <w:p w:rsidR="00CA4B98" w:rsidRDefault="00D15E39">
      <w:pPr>
        <w:jc w:val="center"/>
      </w:pPr>
      <w:r>
        <w:rPr>
          <w:rFonts w:ascii="仿宋" w:eastAsia="仿宋" w:hAnsi="仿宋" w:cs="仿宋" w:hint="eastAsia"/>
          <w:b/>
          <w:bCs/>
          <w:sz w:val="44"/>
          <w:szCs w:val="44"/>
          <w:shd w:val="clear" w:color="auto" w:fill="FFFFFF"/>
        </w:rPr>
        <w:t>风险防范</w:t>
      </w:r>
      <w:r>
        <w:rPr>
          <w:rFonts w:ascii="仿宋" w:eastAsia="仿宋" w:hAnsi="仿宋" w:cs="仿宋" w:hint="eastAsia"/>
          <w:b/>
          <w:bCs/>
          <w:sz w:val="44"/>
          <w:szCs w:val="44"/>
          <w:shd w:val="clear" w:color="auto" w:fill="FFFFFF"/>
        </w:rPr>
        <w:t>专题培训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的通知</w:t>
      </w:r>
    </w:p>
    <w:p w:rsidR="00CA4B98" w:rsidRDefault="00D15E3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各有关企业：</w:t>
      </w:r>
    </w:p>
    <w:p w:rsidR="00CA4B98" w:rsidRDefault="00D15E3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B0F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金</w:t>
      </w:r>
      <w:r>
        <w:rPr>
          <w:rFonts w:ascii="仿宋" w:eastAsia="仿宋" w:hAnsi="仿宋" w:cs="仿宋" w:hint="eastAsia"/>
          <w:sz w:val="32"/>
          <w:szCs w:val="32"/>
        </w:rPr>
        <w:t>税</w:t>
      </w:r>
      <w:r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</w:rPr>
        <w:t>期</w:t>
      </w:r>
      <w:r>
        <w:rPr>
          <w:rFonts w:ascii="仿宋" w:eastAsia="仿宋" w:hAnsi="仿宋" w:cs="仿宋" w:hint="eastAsia"/>
          <w:sz w:val="32"/>
          <w:szCs w:val="32"/>
        </w:rPr>
        <w:t>上线后，税务稽查趋严，“黑名单”和“联合惩戒”制度的出台，更是让企业主不敢偷税、漏税、逃税；在强大的大数据面前，企业和财务人员应该如何应对</w:t>
      </w:r>
      <w:r>
        <w:rPr>
          <w:rFonts w:ascii="仿宋" w:eastAsia="仿宋" w:hAnsi="仿宋" w:cs="仿宋" w:hint="eastAsia"/>
          <w:sz w:val="32"/>
          <w:szCs w:val="32"/>
        </w:rPr>
        <w:t>。为降低企业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涉税风险及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帮助财务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人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员做好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从业风险防范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现举行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专题培训。</w:t>
      </w:r>
      <w:r>
        <w:rPr>
          <w:rFonts w:ascii="仿宋" w:eastAsia="仿宋" w:hAnsi="仿宋" w:cs="仿宋" w:hint="eastAsia"/>
          <w:sz w:val="32"/>
          <w:szCs w:val="32"/>
        </w:rPr>
        <w:t>课程内容丰富、实用、且针对性强，请各有关企业积极报名参与。</w:t>
      </w:r>
    </w:p>
    <w:p w:rsidR="00CA4B98" w:rsidRDefault="00D15E39">
      <w:pPr>
        <w:ind w:leftChars="304" w:left="63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一、培训时间：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28</w:t>
      </w:r>
      <w:r>
        <w:rPr>
          <w:rFonts w:ascii="仿宋" w:eastAsia="仿宋" w:hAnsi="仿宋" w:cs="仿宋" w:hint="eastAsia"/>
          <w:sz w:val="32"/>
          <w:szCs w:val="32"/>
        </w:rPr>
        <w:t>日（星期三）下午</w:t>
      </w:r>
      <w:r>
        <w:rPr>
          <w:rFonts w:ascii="仿宋" w:eastAsia="仿宋" w:hAnsi="仿宋" w:cs="仿宋" w:hint="eastAsia"/>
          <w:sz w:val="32"/>
          <w:szCs w:val="32"/>
        </w:rPr>
        <w:t>2:30</w:t>
      </w:r>
      <w:r>
        <w:rPr>
          <w:rFonts w:ascii="仿宋" w:eastAsia="仿宋" w:hAnsi="仿宋" w:cs="仿宋" w:hint="eastAsia"/>
          <w:sz w:val="32"/>
          <w:szCs w:val="32"/>
        </w:rPr>
        <w:t>时</w:t>
      </w:r>
    </w:p>
    <w:p w:rsidR="00CA4B98" w:rsidRDefault="00D15E39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三、培训地点：</w:t>
      </w:r>
      <w:r>
        <w:rPr>
          <w:rFonts w:ascii="仿宋" w:eastAsia="仿宋" w:hAnsi="仿宋" w:cs="仿宋" w:hint="eastAsia"/>
          <w:sz w:val="32"/>
          <w:szCs w:val="32"/>
        </w:rPr>
        <w:t>厂商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会大厦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楼会议室（市桥街盛泰路盛兴大街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号）</w:t>
      </w:r>
    </w:p>
    <w:p w:rsidR="00CA4B98" w:rsidRDefault="00D15E39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四、培训对象：</w:t>
      </w:r>
      <w:r>
        <w:rPr>
          <w:rFonts w:ascii="仿宋" w:eastAsia="仿宋" w:hAnsi="仿宋" w:cs="仿宋" w:hint="eastAsia"/>
          <w:sz w:val="32"/>
          <w:szCs w:val="32"/>
        </w:rPr>
        <w:t>企业财务人员。</w:t>
      </w:r>
    </w:p>
    <w:p w:rsidR="00CA4B98" w:rsidRDefault="00D15E39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五、培训人数：</w:t>
      </w:r>
      <w:r>
        <w:rPr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人，先报先得。</w:t>
      </w:r>
    </w:p>
    <w:p w:rsidR="00CA4B98" w:rsidRDefault="00D15E39">
      <w:pPr>
        <w:ind w:firstLineChars="200" w:firstLine="643"/>
        <w:rPr>
          <w:rFonts w:ascii="微软雅黑" w:eastAsia="微软雅黑" w:hAnsi="微软雅黑"/>
          <w:color w:val="C00000"/>
          <w:sz w:val="24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六、学习内容：</w:t>
      </w:r>
    </w:p>
    <w:p w:rsidR="00CA4B98" w:rsidRDefault="00D15E39">
      <w:pPr>
        <w:ind w:firstLineChars="100" w:firstLine="321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一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税局稽查利器：金三系统及其影响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全面了解金三系统的特点及监管逻辑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纳税信用、黑名单制度给企业和会计带来哪些影响？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金三再升级，金三的监管措施要注意哪些？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新征管模式下，财务人员需要避开哪些认知误区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？</w:t>
      </w:r>
    </w:p>
    <w:p w:rsidR="00CA4B98" w:rsidRDefault="00D15E39">
      <w:pPr>
        <w:ind w:firstLineChars="100" w:firstLine="321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lastRenderedPageBreak/>
        <w:t>（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二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企业无税可逃：金三大数据及其影响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了解金三大数据的监管流程和数据模型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金三大数据分析的信息来自哪里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？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案例分析：税局如何锁定稽查对象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？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稽查方式改变，企业面临哪些挑战，如何应对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？</w:t>
      </w:r>
    </w:p>
    <w:p w:rsidR="00CA4B98" w:rsidRDefault="00D15E39">
      <w:pPr>
        <w:ind w:firstLineChars="100" w:firstLine="321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三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风险指标解析：增值税税务风险提示及稽查重点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异常凭证的监控要点，企业如何应对风险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？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上游企业走逃，导致进项发票不能抵扣，如何减少损失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？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企业进销项不匹配，埋下风险隐患，如何提前排雷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？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销项发票、进项抵扣风险监控指标有哪些？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增值税税负监控，如何了解同行税负？你税负达标吗？</w:t>
      </w:r>
    </w:p>
    <w:p w:rsidR="00CA4B98" w:rsidRDefault="00D15E39">
      <w:pPr>
        <w:ind w:firstLineChars="100" w:firstLine="321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四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风险指标解析：企业所得税税务风险提示及稽查重点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何为企业所得税贡献率？税局如何监控这一指标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？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税收优惠涉税风险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风险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，税局关注的要点在哪里？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收入、成本、费用等隐藏哪些涉税风险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？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案例分析：财务报表涉税风险指标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？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不同税种之间的勾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稽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关系，税局关注哪些点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？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企业应对策略及规避风险建议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？</w:t>
      </w:r>
    </w:p>
    <w:p w:rsidR="00CA4B98" w:rsidRDefault="00D15E39">
      <w:pPr>
        <w:ind w:firstLineChars="100" w:firstLine="321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五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风险无处不在：金三对第三方信息的监控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金三之下，企业变身“小透明”，税局收集哪些信息，你清楚吗？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案例分析：税局如何利用第三方信息，揪出稽查对象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POS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机、拍卖等数据信息，会带来哪些风险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涉税信息采集分析平台，哪些信息要点被监控</w:t>
      </w:r>
    </w:p>
    <w:p w:rsidR="00CA4B98" w:rsidRDefault="00D15E39">
      <w:pPr>
        <w:pStyle w:val="a4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风险应对难上加难，财会人员如何有效解决？</w:t>
      </w:r>
    </w:p>
    <w:p w:rsidR="00CA4B98" w:rsidRDefault="00D15E39">
      <w:pPr>
        <w:pStyle w:val="a4"/>
        <w:ind w:firstLineChars="0" w:firstLine="0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（六）双循环发展新格局下的金融应对。</w:t>
      </w:r>
    </w:p>
    <w:p w:rsidR="00CA4B98" w:rsidRPr="001827C6" w:rsidRDefault="00D15E39" w:rsidP="001827C6">
      <w:pPr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七、课程费用：</w:t>
      </w:r>
      <w:r>
        <w:rPr>
          <w:rFonts w:ascii="仿宋" w:eastAsia="仿宋" w:hAnsi="仿宋" w:cs="仿宋" w:hint="eastAsia"/>
          <w:sz w:val="32"/>
          <w:szCs w:val="32"/>
        </w:rPr>
        <w:t>免费。</w:t>
      </w:r>
      <w:r w:rsidR="001827C6">
        <w:rPr>
          <w:rFonts w:ascii="仿宋" w:eastAsia="仿宋" w:hAnsi="仿宋" w:cs="仿宋"/>
          <w:color w:val="FF0000"/>
          <w:sz w:val="32"/>
          <w:szCs w:val="32"/>
        </w:rPr>
        <w:t xml:space="preserve"> </w:t>
      </w:r>
    </w:p>
    <w:p w:rsidR="00CA4B98" w:rsidRDefault="00CA4B98">
      <w:pPr>
        <w:ind w:firstLine="640"/>
        <w:rPr>
          <w:rFonts w:ascii="仿宋" w:eastAsia="仿宋" w:hAnsi="仿宋" w:cs="仿宋"/>
          <w:color w:val="FF0000"/>
          <w:sz w:val="32"/>
          <w:szCs w:val="32"/>
        </w:rPr>
      </w:pPr>
    </w:p>
    <w:p w:rsidR="00CA4B98" w:rsidRDefault="00CA4B98">
      <w:pPr>
        <w:ind w:firstLine="640"/>
        <w:rPr>
          <w:rFonts w:ascii="仿宋" w:eastAsia="仿宋" w:hAnsi="仿宋" w:cs="仿宋"/>
          <w:color w:val="FF0000"/>
          <w:sz w:val="32"/>
          <w:szCs w:val="32"/>
        </w:rPr>
      </w:pPr>
    </w:p>
    <w:p w:rsidR="00CA4B98" w:rsidRDefault="00D15E39">
      <w:pPr>
        <w:ind w:firstLineChars="1900" w:firstLine="608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番禺区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厂商会</w:t>
      </w:r>
    </w:p>
    <w:p w:rsidR="00CA4B98" w:rsidRDefault="00D15E39">
      <w:pPr>
        <w:ind w:firstLineChars="1800" w:firstLine="57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</w:t>
      </w:r>
    </w:p>
    <w:p w:rsidR="00CA4B98" w:rsidRDefault="00D15E3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联系人：苏先生</w:t>
      </w:r>
    </w:p>
    <w:p w:rsidR="00CA4B98" w:rsidRDefault="00D15E3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84649162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13431072772</w:t>
      </w:r>
    </w:p>
    <w:p w:rsidR="00CA4B98" w:rsidRDefault="00D15E39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电子邮箱：</w:t>
      </w:r>
      <w:hyperlink r:id="rId7" w:history="1">
        <w:r w:rsidR="001827C6" w:rsidRPr="009B050A">
          <w:rPr>
            <w:rStyle w:val="a7"/>
            <w:rFonts w:ascii="仿宋" w:eastAsia="仿宋" w:hAnsi="仿宋" w:cs="仿宋" w:hint="eastAsia"/>
            <w:sz w:val="32"/>
            <w:szCs w:val="32"/>
          </w:rPr>
          <w:t>2429266614@qq.com</w:t>
        </w:r>
      </w:hyperlink>
    </w:p>
    <w:p w:rsidR="001827C6" w:rsidRDefault="001827C6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A4B98" w:rsidRDefault="00D15E39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参会回执</w:t>
      </w:r>
    </w:p>
    <w:tbl>
      <w:tblPr>
        <w:tblStyle w:val="a3"/>
        <w:tblW w:w="0" w:type="auto"/>
        <w:tblLook w:val="04A0"/>
      </w:tblPr>
      <w:tblGrid>
        <w:gridCol w:w="3656"/>
        <w:gridCol w:w="2235"/>
        <w:gridCol w:w="2965"/>
      </w:tblGrid>
      <w:tr w:rsidR="00CA4B98">
        <w:tc>
          <w:tcPr>
            <w:tcW w:w="3656" w:type="dxa"/>
          </w:tcPr>
          <w:p w:rsidR="00CA4B98" w:rsidRDefault="00D15E39">
            <w:pPr>
              <w:ind w:firstLineChars="300" w:firstLine="9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企业名称</w:t>
            </w:r>
          </w:p>
        </w:tc>
        <w:tc>
          <w:tcPr>
            <w:tcW w:w="2235" w:type="dxa"/>
          </w:tcPr>
          <w:p w:rsidR="00CA4B98" w:rsidRDefault="00D15E39">
            <w:pPr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参会代表</w:t>
            </w:r>
          </w:p>
        </w:tc>
        <w:tc>
          <w:tcPr>
            <w:tcW w:w="2965" w:type="dxa"/>
          </w:tcPr>
          <w:p w:rsidR="00CA4B98" w:rsidRDefault="00D15E39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手机号码</w:t>
            </w:r>
          </w:p>
        </w:tc>
      </w:tr>
      <w:tr w:rsidR="00CA4B98">
        <w:tc>
          <w:tcPr>
            <w:tcW w:w="3656" w:type="dxa"/>
          </w:tcPr>
          <w:p w:rsidR="00CA4B98" w:rsidRDefault="00CA4B9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35" w:type="dxa"/>
          </w:tcPr>
          <w:p w:rsidR="00CA4B98" w:rsidRDefault="00CA4B9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65" w:type="dxa"/>
          </w:tcPr>
          <w:p w:rsidR="00CA4B98" w:rsidRDefault="00CA4B9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A4B98">
        <w:tc>
          <w:tcPr>
            <w:tcW w:w="3656" w:type="dxa"/>
          </w:tcPr>
          <w:p w:rsidR="00CA4B98" w:rsidRDefault="00CA4B9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35" w:type="dxa"/>
          </w:tcPr>
          <w:p w:rsidR="00CA4B98" w:rsidRDefault="00CA4B9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65" w:type="dxa"/>
          </w:tcPr>
          <w:p w:rsidR="00CA4B98" w:rsidRDefault="00CA4B98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CA4B98" w:rsidRDefault="00CA4B98">
      <w:pPr>
        <w:rPr>
          <w:rFonts w:ascii="仿宋" w:eastAsia="仿宋" w:hAnsi="仿宋" w:cs="仿宋"/>
          <w:sz w:val="32"/>
          <w:szCs w:val="32"/>
        </w:rPr>
      </w:pPr>
    </w:p>
    <w:p w:rsidR="00CA4B98" w:rsidRDefault="00CA4B98">
      <w:pPr>
        <w:rPr>
          <w:rFonts w:ascii="仿宋" w:eastAsia="仿宋" w:hAnsi="仿宋" w:cs="仿宋"/>
          <w:sz w:val="32"/>
          <w:szCs w:val="32"/>
        </w:rPr>
      </w:pPr>
    </w:p>
    <w:p w:rsidR="00CA4B98" w:rsidRDefault="00CA4B98">
      <w:pPr>
        <w:rPr>
          <w:rFonts w:ascii="仿宋" w:eastAsia="仿宋" w:hAnsi="仿宋" w:cs="仿宋"/>
          <w:sz w:val="32"/>
          <w:szCs w:val="32"/>
        </w:rPr>
      </w:pPr>
    </w:p>
    <w:p w:rsidR="00CA4B98" w:rsidRDefault="00D15E3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CA4B98" w:rsidRDefault="00D15E3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</w:p>
    <w:p w:rsidR="00CA4B98" w:rsidRDefault="00D15E39">
      <w:pPr>
        <w:ind w:firstLineChars="900" w:firstLine="2880"/>
        <w:rPr>
          <w:rFonts w:ascii="仿宋" w:eastAsia="仿宋" w:hAnsi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讲师介绍</w:t>
      </w:r>
    </w:p>
    <w:p w:rsidR="00CA4B98" w:rsidRDefault="00D15E39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廖娟老师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财税实操专家</w:t>
      </w:r>
    </w:p>
    <w:p w:rsidR="00CA4B98" w:rsidRDefault="00D15E3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1469390" cy="1800225"/>
            <wp:effectExtent l="0" t="0" r="0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29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理道授权讲师，理道税务风险管理合伙人、高级咨询顾问。</w:t>
      </w:r>
    </w:p>
    <w:p w:rsidR="00CA4B98" w:rsidRDefault="00D15E3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金三纳税实操专家，中山大学</w:t>
      </w:r>
      <w:r>
        <w:rPr>
          <w:rFonts w:ascii="仿宋" w:eastAsia="仿宋" w:hAnsi="仿宋" w:cs="仿宋" w:hint="eastAsia"/>
          <w:sz w:val="32"/>
          <w:szCs w:val="32"/>
        </w:rPr>
        <w:t>EMBA</w:t>
      </w:r>
      <w:r>
        <w:rPr>
          <w:rFonts w:ascii="仿宋" w:eastAsia="仿宋" w:hAnsi="仿宋" w:cs="仿宋" w:hint="eastAsia"/>
          <w:sz w:val="32"/>
          <w:szCs w:val="32"/>
        </w:rPr>
        <w:t>，曾任职知名外企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余年；拥有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多年企业财税管理经验。</w:t>
      </w:r>
    </w:p>
    <w:p w:rsidR="00CA4B98" w:rsidRDefault="00D15E3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廖老师熟悉企业日常税务风险管理，对政策有深刻理解，擅长合理筹划解决企业税务问题，同时又有丰富实操执行经验，服务过包括生产快销品行业、房地产开发行业、现代服务业、传统生产企业等行业，特别熟悉进出口业务、关联交易业务、支付境外费用、固定资产投资、房地产开发等业务税务管理与筹划；各类企业日常税务风险管理，税务稽查应对及与税局交往等实操业务。</w:t>
      </w:r>
    </w:p>
    <w:p w:rsidR="00CA4B98" w:rsidRDefault="00D15E3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廖老师目前主要从事企业税务咨询筹划和培训业务。</w:t>
      </w:r>
    </w:p>
    <w:p w:rsidR="00CA4B98" w:rsidRDefault="00CA4B98">
      <w:pPr>
        <w:rPr>
          <w:rFonts w:ascii="仿宋" w:eastAsia="仿宋" w:hAnsi="仿宋" w:cs="仿宋"/>
          <w:sz w:val="32"/>
          <w:szCs w:val="32"/>
        </w:rPr>
      </w:pPr>
    </w:p>
    <w:p w:rsidR="00CA4B98" w:rsidRDefault="00CA4B98"/>
    <w:p w:rsidR="00CA4B98" w:rsidRDefault="00CA4B98"/>
    <w:sectPr w:rsidR="00CA4B98" w:rsidSect="00CA4B98">
      <w:pgSz w:w="11906" w:h="16838"/>
      <w:pgMar w:top="1157" w:right="1519" w:bottom="1440" w:left="151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E39" w:rsidRDefault="00D15E39" w:rsidP="001827C6">
      <w:r>
        <w:separator/>
      </w:r>
    </w:p>
  </w:endnote>
  <w:endnote w:type="continuationSeparator" w:id="0">
    <w:p w:rsidR="00D15E39" w:rsidRDefault="00D15E39" w:rsidP="00182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公文小标宋简">
    <w:altName w:val="宋体"/>
    <w:charset w:val="86"/>
    <w:family w:val="moder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E39" w:rsidRDefault="00D15E39" w:rsidP="001827C6">
      <w:r>
        <w:separator/>
      </w:r>
    </w:p>
  </w:footnote>
  <w:footnote w:type="continuationSeparator" w:id="0">
    <w:p w:rsidR="00D15E39" w:rsidRDefault="00D15E39" w:rsidP="00182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0247C5"/>
    <w:rsid w:val="001827C6"/>
    <w:rsid w:val="00CA4B98"/>
    <w:rsid w:val="00D15E39"/>
    <w:rsid w:val="032F6577"/>
    <w:rsid w:val="14D10ABE"/>
    <w:rsid w:val="17B16209"/>
    <w:rsid w:val="17B71BA8"/>
    <w:rsid w:val="1C9C7127"/>
    <w:rsid w:val="21371928"/>
    <w:rsid w:val="23AE1C91"/>
    <w:rsid w:val="287500FF"/>
    <w:rsid w:val="2C6A3EF4"/>
    <w:rsid w:val="330247C5"/>
    <w:rsid w:val="3621133D"/>
    <w:rsid w:val="46C85531"/>
    <w:rsid w:val="482B1D47"/>
    <w:rsid w:val="51936679"/>
    <w:rsid w:val="545A566D"/>
    <w:rsid w:val="55550005"/>
    <w:rsid w:val="57296774"/>
    <w:rsid w:val="604E5EBA"/>
    <w:rsid w:val="691E574B"/>
    <w:rsid w:val="76EE3C68"/>
    <w:rsid w:val="78227069"/>
    <w:rsid w:val="78A308CB"/>
    <w:rsid w:val="7C573BE5"/>
    <w:rsid w:val="7F85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B9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A4B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4B98"/>
    <w:pPr>
      <w:ind w:firstLineChars="200" w:firstLine="420"/>
    </w:pPr>
  </w:style>
  <w:style w:type="paragraph" w:styleId="a5">
    <w:name w:val="header"/>
    <w:basedOn w:val="a"/>
    <w:link w:val="Char"/>
    <w:rsid w:val="00182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827C6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182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827C6"/>
    <w:rPr>
      <w:rFonts w:ascii="Calibri" w:eastAsia="宋体" w:hAnsi="Calibri" w:cs="Times New Roman"/>
      <w:kern w:val="2"/>
      <w:sz w:val="18"/>
      <w:szCs w:val="18"/>
    </w:rPr>
  </w:style>
  <w:style w:type="character" w:styleId="a7">
    <w:name w:val="Hyperlink"/>
    <w:basedOn w:val="a0"/>
    <w:rsid w:val="001827C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2429266614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2020-09-09T07:13:00Z</dcterms:created>
  <dcterms:modified xsi:type="dcterms:W3CDTF">2020-10-21T03:00:00Z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