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distribute"/>
        <w:rPr>
          <w:rFonts w:ascii="宋体" w:hAnsi="宋体"/>
          <w:b/>
          <w:color w:val="FF0000"/>
          <w:sz w:val="72"/>
          <w:szCs w:val="72"/>
        </w:rPr>
      </w:pPr>
      <w:r>
        <w:rPr>
          <w:rFonts w:hint="eastAsia" w:ascii="宋体" w:hAnsi="宋体"/>
          <w:b/>
          <w:color w:val="FF0000"/>
          <w:sz w:val="72"/>
          <w:szCs w:val="72"/>
        </w:rPr>
        <w:t>广州市中小企业服务中心</w:t>
      </w:r>
    </w:p>
    <w:p>
      <w:pPr>
        <w:spacing w:line="360" w:lineRule="auto"/>
        <w:jc w:val="distribute"/>
        <w:rPr>
          <w:rFonts w:ascii="宋体" w:hAnsi="宋体"/>
          <w:b/>
          <w:color w:val="FF0000"/>
          <w:sz w:val="72"/>
          <w:szCs w:val="72"/>
        </w:rPr>
      </w:pPr>
      <w:r>
        <w:rPr>
          <w:rFonts w:hint="eastAsia" w:ascii="宋体" w:hAnsi="宋体"/>
          <w:b/>
          <w:color w:val="FF0000"/>
          <w:sz w:val="72"/>
          <w:szCs w:val="72"/>
        </w:rPr>
        <w:t>中山大学高等继续教育中心</w:t>
      </w:r>
    </w:p>
    <w:p>
      <w:pPr>
        <w:spacing w:line="360" w:lineRule="auto"/>
        <w:jc w:val="center"/>
        <w:rPr>
          <w:rFonts w:ascii="仿宋_GB2312" w:eastAsia="仿宋_GB2312"/>
          <w:sz w:val="72"/>
          <w:szCs w:val="72"/>
        </w:rPr>
      </w:pPr>
      <w:r>
        <w:rPr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129540</wp:posOffset>
                </wp:positionV>
                <wp:extent cx="6062345" cy="825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2345" cy="825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.7pt;margin-top:10.2pt;height:0.65pt;width:477.35pt;z-index:251659264;mso-width-relative:page;mso-height-relative:page;" filled="f" stroked="t" coordsize="21600,21600" o:gfxdata="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6aItr1AAAAAcBAAAP&#10;AAAAAAAAAAEAIAAAACIAAABkcnMvZG93bnJldi54bWxQSwECFAAUAAAACACHTuJAxSn3PeMBAACm&#10;AwAADgAAAAAAAAABACAAAAAjAQAAZHJzL2Uyb0RvYy54bWxQSwUGAAAAAAYABgBZAQAAeA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</w:t>
      </w:r>
      <w:r>
        <w:rPr>
          <w:rFonts w:ascii="宋体" w:hAnsi="宋体"/>
          <w:b/>
          <w:sz w:val="44"/>
          <w:szCs w:val="44"/>
        </w:rPr>
        <w:t>于举办</w:t>
      </w:r>
      <w:r>
        <w:rPr>
          <w:rFonts w:hint="eastAsia" w:ascii="宋体" w:hAnsi="宋体"/>
          <w:b/>
          <w:sz w:val="44"/>
          <w:szCs w:val="44"/>
        </w:rPr>
        <w:t>广州市</w:t>
      </w:r>
      <w:r>
        <w:rPr>
          <w:rFonts w:ascii="宋体" w:hAnsi="宋体"/>
          <w:b/>
          <w:sz w:val="44"/>
          <w:szCs w:val="44"/>
        </w:rPr>
        <w:t>重点企</w:t>
      </w:r>
      <w:r>
        <w:rPr>
          <w:rFonts w:hint="eastAsia" w:ascii="宋体" w:hAnsi="宋体"/>
          <w:b/>
          <w:sz w:val="44"/>
          <w:szCs w:val="44"/>
        </w:rPr>
        <w:t>业卓越</w:t>
      </w:r>
      <w:r>
        <w:rPr>
          <w:rFonts w:ascii="宋体" w:hAnsi="宋体"/>
          <w:b/>
          <w:sz w:val="44"/>
          <w:szCs w:val="44"/>
        </w:rPr>
        <w:t>领袖</w:t>
      </w:r>
    </w:p>
    <w:p>
      <w:pPr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高级研修</w:t>
      </w:r>
      <w:r>
        <w:rPr>
          <w:rFonts w:ascii="宋体" w:hAnsi="宋体" w:cs="宋体"/>
          <w:b/>
          <w:bCs/>
          <w:sz w:val="44"/>
          <w:szCs w:val="44"/>
        </w:rPr>
        <w:t>班</w:t>
      </w:r>
      <w:r>
        <w:rPr>
          <w:rFonts w:hint="eastAsia" w:ascii="宋体" w:hAnsi="宋体" w:cs="宋体"/>
          <w:b/>
          <w:bCs/>
          <w:sz w:val="44"/>
          <w:szCs w:val="44"/>
        </w:rPr>
        <w:t>2019级</w:t>
      </w:r>
      <w:r>
        <w:rPr>
          <w:rFonts w:ascii="宋体" w:hAnsi="宋体" w:cs="宋体"/>
          <w:b/>
          <w:bCs/>
          <w:sz w:val="44"/>
          <w:szCs w:val="44"/>
        </w:rPr>
        <w:t>的通知</w:t>
      </w:r>
    </w:p>
    <w:p>
      <w:pPr>
        <w:spacing w:line="360" w:lineRule="auto"/>
        <w:jc w:val="center"/>
        <w:rPr>
          <w:rFonts w:ascii="宋体" w:hAnsi="宋体"/>
          <w:sz w:val="28"/>
          <w:szCs w:val="44"/>
        </w:rPr>
      </w:pPr>
    </w:p>
    <w:p>
      <w:pPr>
        <w:spacing w:before="240" w:line="360" w:lineRule="auto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各重点民营企业、行业领先民营企业：</w:t>
      </w:r>
    </w:p>
    <w:p>
      <w:pPr>
        <w:spacing w:before="240" w:line="460" w:lineRule="exact"/>
        <w:ind w:left="-63" w:leftChars="-30"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共广州市委广州市人民政府印发&lt;关于促进民营经济发展的若干措施&gt;的通知》（穗字[2017]19号）的精神，为深化企业家理想信念教育，加强企业家教育培养，弘扬企业家精神，广州市中小企业服务中心和</w:t>
      </w:r>
      <w:r>
        <w:rPr>
          <w:rFonts w:hint="eastAsia" w:ascii="仿宋" w:hAnsi="仿宋" w:eastAsia="仿宋" w:cs="微软雅黑"/>
          <w:bCs/>
          <w:color w:val="000000"/>
          <w:sz w:val="32"/>
          <w:szCs w:val="32"/>
        </w:rPr>
        <w:t>中山大学高等继续教育中心</w:t>
      </w:r>
      <w:r>
        <w:rPr>
          <w:rFonts w:hint="eastAsia" w:ascii="仿宋" w:hAnsi="仿宋" w:eastAsia="仿宋" w:cs="仿宋"/>
          <w:sz w:val="32"/>
          <w:szCs w:val="32"/>
        </w:rPr>
        <w:t>对全市各行业优秀民营企业、行业领先企业开设“广州市重点企业卓越领袖高级研修班2019级”，招生工作由广州市中小企业服务中心具体负责。现将有关事项通知如下：</w:t>
      </w:r>
    </w:p>
    <w:p>
      <w:pPr>
        <w:spacing w:before="240" w:line="460" w:lineRule="exact"/>
        <w:ind w:firstLine="643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一、办班组织</w:t>
      </w:r>
    </w:p>
    <w:p>
      <w:pPr>
        <w:spacing w:before="240" w:line="460" w:lineRule="exact"/>
        <w:ind w:left="-141" w:leftChars="-67"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【主办单位】广州工业经济联合会、广州市企业联合会、</w:t>
      </w:r>
    </w:p>
    <w:p>
      <w:pPr>
        <w:spacing w:before="240" w:line="460" w:lineRule="exact"/>
        <w:ind w:left="-141" w:leftChars="-67" w:firstLine="2560" w:firstLineChars="8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广州市企业家协会</w:t>
      </w:r>
    </w:p>
    <w:p>
      <w:pPr>
        <w:spacing w:before="240" w:line="460" w:lineRule="exact"/>
        <w:ind w:left="-63" w:leftChars="-30"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【承办单位】广州市中小企业服务中心</w:t>
      </w:r>
    </w:p>
    <w:p>
      <w:pPr>
        <w:spacing w:before="240" w:line="460" w:lineRule="exact"/>
        <w:ind w:left="-63" w:leftChars="-30" w:firstLine="2560" w:firstLineChars="8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微软雅黑"/>
          <w:bCs/>
          <w:color w:val="000000"/>
          <w:sz w:val="32"/>
          <w:szCs w:val="32"/>
        </w:rPr>
        <w:t>中山大学高等继续教育中心</w:t>
      </w:r>
    </w:p>
    <w:p>
      <w:pPr>
        <w:spacing w:line="360" w:lineRule="auto"/>
        <w:ind w:left="44" w:leftChars="21" w:firstLine="320" w:firstLineChars="100"/>
        <w:outlineLvl w:val="0"/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ind w:left="44" w:leftChars="21" w:firstLine="321" w:firstLineChars="100"/>
        <w:outlineLvl w:val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报名条件、名额</w:t>
      </w:r>
    </w:p>
    <w:p>
      <w:pPr>
        <w:spacing w:line="360" w:lineRule="auto"/>
        <w:ind w:left="254" w:leftChars="121" w:firstLine="640" w:firstLineChars="20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各行业优秀民营企业、行业领先企业的董事长、副董事长、总裁、副总裁、总经理或副总等高管；综合素质优秀，身体健康，学习意愿强，招生人数为40人。进行审核录取报名，名额有限，先到先得。</w:t>
      </w:r>
    </w:p>
    <w:p>
      <w:pPr>
        <w:spacing w:before="240" w:line="460" w:lineRule="exact"/>
        <w:ind w:firstLine="482" w:firstLineChars="150"/>
        <w:outlineLvl w:val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三、培训时间</w:t>
      </w:r>
    </w:p>
    <w:p>
      <w:pPr>
        <w:spacing w:before="240" w:line="360" w:lineRule="auto"/>
        <w:ind w:firstLine="480" w:firstLineChars="150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2019年5月至2020年4月，学制一年。具体时间见《报到通知书》。</w:t>
      </w:r>
    </w:p>
    <w:p>
      <w:pPr>
        <w:widowControl/>
        <w:spacing w:line="360" w:lineRule="auto"/>
        <w:ind w:firstLine="320" w:firstLineChars="1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【培训费用】31800元/人（含授课、教务、教材、资料等），国内游学课程自由选择（机票、食宿费用自理）。</w:t>
      </w:r>
    </w:p>
    <w:p>
      <w:pPr>
        <w:spacing w:before="240" w:line="360" w:lineRule="auto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【证书颁发】完成规定课程,颁发中山大学结业证书。</w:t>
      </w:r>
    </w:p>
    <w:p>
      <w:pPr>
        <w:spacing w:before="240" w:line="460" w:lineRule="exact"/>
        <w:ind w:left="142" w:firstLine="321" w:firstLineChars="100"/>
        <w:jc w:val="left"/>
        <w:outlineLvl w:val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四、联系方式</w:t>
      </w:r>
    </w:p>
    <w:p>
      <w:pPr>
        <w:spacing w:before="240" w:line="460" w:lineRule="exact"/>
        <w:ind w:left="96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徐嘉雯：020-83495492、13711020264</w:t>
      </w:r>
    </w:p>
    <w:p>
      <w:pPr>
        <w:spacing w:before="240" w:line="460" w:lineRule="exact"/>
        <w:ind w:left="96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麦小婷：020-83491639、13902258177</w:t>
      </w:r>
    </w:p>
    <w:p>
      <w:pPr>
        <w:spacing w:before="240" w:line="460" w:lineRule="exact"/>
        <w:ind w:left="96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传  真：020-83508477    电子邮箱：</w:t>
      </w:r>
      <w:r>
        <w:rPr>
          <w:rFonts w:hint="eastAsia"/>
        </w:rPr>
        <w:fldChar w:fldCharType="begin"/>
      </w:r>
      <w:r>
        <w:instrText xml:space="preserve"> HYPERLINK "mailto:2956542629@qq.com" </w:instrText>
      </w:r>
      <w:r>
        <w:rPr>
          <w:rFonts w:hint="eastAsia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373017949@qq.com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>
      <w:pPr>
        <w:spacing w:before="240" w:line="460" w:lineRule="exact"/>
        <w:ind w:left="96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联系地址：广州市越秀区麓景路7号7楼</w:t>
      </w:r>
    </w:p>
    <w:p>
      <w:pPr>
        <w:spacing w:before="240" w:line="460" w:lineRule="exact"/>
        <w:outlineLvl w:val="0"/>
        <w:rPr>
          <w:rFonts w:ascii="仿宋" w:hAnsi="仿宋" w:eastAsia="仿宋" w:cs="仿宋"/>
          <w:sz w:val="32"/>
          <w:szCs w:val="32"/>
        </w:rPr>
      </w:pPr>
    </w:p>
    <w:p>
      <w:pPr>
        <w:spacing w:before="240" w:line="460" w:lineRule="exact"/>
        <w:ind w:left="96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附件1：报名表</w:t>
      </w:r>
    </w:p>
    <w:p>
      <w:pPr>
        <w:spacing w:before="240" w:line="460" w:lineRule="exact"/>
        <w:ind w:left="96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附件2：招生简章</w:t>
      </w:r>
    </w:p>
    <w:p>
      <w:pPr>
        <w:spacing w:before="240" w:line="460" w:lineRule="exact"/>
        <w:ind w:left="-141" w:leftChars="-67" w:firstLine="640" w:firstLineChars="200"/>
        <w:jc w:val="right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广州市中小企业服务中心（代章）</w:t>
      </w:r>
    </w:p>
    <w:p>
      <w:pPr>
        <w:spacing w:before="240" w:line="460" w:lineRule="exact"/>
        <w:ind w:left="964"/>
        <w:jc w:val="center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二0一九年一月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</w:rPr>
        <w:t>十日</w:t>
      </w:r>
    </w:p>
    <w:p/>
    <w:p/>
    <w:p/>
    <w:p>
      <w:pPr>
        <w:spacing w:before="240" w:line="380" w:lineRule="exact"/>
        <w:outlineLvl w:val="0"/>
        <w:rPr>
          <w:rFonts w:hint="eastAsia" w:ascii="宋体" w:hAnsi="宋体"/>
          <w:b/>
          <w:sz w:val="30"/>
          <w:szCs w:val="30"/>
        </w:rPr>
      </w:pPr>
    </w:p>
    <w:p>
      <w:pPr>
        <w:spacing w:before="240" w:line="380" w:lineRule="exact"/>
        <w:outlineLvl w:val="0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附件1</w:t>
      </w:r>
    </w:p>
    <w:p>
      <w:pPr>
        <w:spacing w:before="156" w:beforeLines="50"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报名表</w:t>
      </w:r>
    </w:p>
    <w:p>
      <w:pPr>
        <w:widowControl/>
        <w:spacing w:before="100" w:after="156" w:line="240" w:lineRule="atLeast"/>
        <w:jc w:val="center"/>
        <w:rPr>
          <w:rFonts w:ascii="华文宋体" w:hAnsi="华文宋体" w:eastAsia="华文宋体" w:cs="华文宋体"/>
          <w:b/>
          <w:bCs/>
          <w:kern w:val="0"/>
          <w:sz w:val="24"/>
        </w:rPr>
      </w:pPr>
      <w:r>
        <w:rPr>
          <w:rFonts w:hint="eastAsia" w:ascii="华文宋体" w:hAnsi="华文宋体" w:eastAsia="华文宋体" w:cs="华文宋体"/>
          <w:b/>
          <w:bCs/>
          <w:kern w:val="0"/>
          <w:sz w:val="24"/>
        </w:rPr>
        <w:t>课程名称：中山大学广州市重点企业卓越领袖高级研修班2019级</w:t>
      </w:r>
    </w:p>
    <w:tbl>
      <w:tblPr>
        <w:tblStyle w:val="4"/>
        <w:tblW w:w="90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560"/>
        <w:gridCol w:w="708"/>
        <w:gridCol w:w="1056"/>
        <w:gridCol w:w="480"/>
        <w:gridCol w:w="369"/>
        <w:gridCol w:w="991"/>
        <w:gridCol w:w="783"/>
        <w:gridCol w:w="319"/>
        <w:gridCol w:w="13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姓名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性别</w:t>
            </w:r>
          </w:p>
        </w:tc>
        <w:tc>
          <w:tcPr>
            <w:tcW w:w="2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06" w:hanging="106"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□先生□女士</w:t>
            </w: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出生年月</w:t>
            </w: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籍贯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身份证号</w:t>
            </w:r>
          </w:p>
        </w:tc>
        <w:tc>
          <w:tcPr>
            <w:tcW w:w="539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学历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毕业院校</w:t>
            </w:r>
          </w:p>
        </w:tc>
        <w:tc>
          <w:tcPr>
            <w:tcW w:w="2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专业</w:t>
            </w: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2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家庭电话</w:t>
            </w:r>
          </w:p>
        </w:tc>
        <w:tc>
          <w:tcPr>
            <w:tcW w:w="24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传真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289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电子邮箱</w:t>
            </w:r>
          </w:p>
        </w:tc>
        <w:tc>
          <w:tcPr>
            <w:tcW w:w="24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邮寄地址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2896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邮政编码</w:t>
            </w:r>
          </w:p>
        </w:tc>
        <w:tc>
          <w:tcPr>
            <w:tcW w:w="2498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after="156" w:line="240" w:lineRule="atLeas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单位信息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单位名称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部门/职务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担任本职务时间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单位电话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单位传真</w:t>
            </w:r>
          </w:p>
        </w:tc>
        <w:tc>
          <w:tcPr>
            <w:tcW w:w="385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单位地址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邮政编码</w:t>
            </w:r>
          </w:p>
        </w:tc>
        <w:tc>
          <w:tcPr>
            <w:tcW w:w="385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单位所属行业（请选择）：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□邮电通信与信息产业□交通运输仓储业□制造业□金融、证券、保险业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□教育、文化与媒体□房地产与建筑业□科学研究和综合技术服务业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□政府部门与社会团体□公共事业（含水、电、煤气等）□其他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资产规模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945" w:firstLineChars="450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亿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股票代码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上市地</w:t>
            </w: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员工规模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学费来源</w:t>
            </w:r>
          </w:p>
        </w:tc>
        <w:tc>
          <w:tcPr>
            <w:tcW w:w="7662" w:type="dxa"/>
            <w:gridSpan w:val="9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65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□公司全额支付□学员本人全额支付□其他：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缴费信息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缴费帐号：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开户行：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户名：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 xml:space="preserve">学费金额：人民币          元；   付款人姓名：     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bCs/>
                <w:kern w:val="0"/>
                <w:szCs w:val="21"/>
              </w:rPr>
              <w:t>发票抬头：</w:t>
            </w:r>
          </w:p>
          <w:p>
            <w:pPr>
              <w:widowControl/>
              <w:jc w:val="left"/>
              <w:rPr>
                <w:rFonts w:ascii="华文宋体" w:hAnsi="华文宋体" w:eastAsia="华文宋体" w:cs="华文宋体"/>
                <w:bCs/>
                <w:kern w:val="0"/>
                <w:szCs w:val="21"/>
              </w:rPr>
            </w:pPr>
          </w:p>
        </w:tc>
      </w:tr>
    </w:tbl>
    <w:p>
      <w:pPr>
        <w:spacing w:before="240" w:line="460" w:lineRule="exact"/>
        <w:outlineLvl w:val="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44"/>
          <w:u w:val="single"/>
        </w:rPr>
        <w:t>注</w:t>
      </w:r>
      <w:r>
        <w:rPr>
          <w:rFonts w:ascii="宋体" w:hAnsi="宋体"/>
          <w:b/>
          <w:sz w:val="28"/>
          <w:szCs w:val="44"/>
          <w:u w:val="single"/>
        </w:rPr>
        <w:t>：请用正楷字</w:t>
      </w:r>
      <w:r>
        <w:rPr>
          <w:rFonts w:hint="eastAsia" w:ascii="宋体" w:hAnsi="宋体"/>
          <w:b/>
          <w:sz w:val="28"/>
          <w:szCs w:val="44"/>
          <w:u w:val="single"/>
        </w:rPr>
        <w:t>填写</w:t>
      </w:r>
      <w:r>
        <w:rPr>
          <w:rFonts w:ascii="宋体" w:hAnsi="宋体"/>
          <w:b/>
          <w:sz w:val="28"/>
          <w:szCs w:val="44"/>
          <w:u w:val="single"/>
        </w:rPr>
        <w:t>回传至</w:t>
      </w:r>
      <w:r>
        <w:rPr>
          <w:rFonts w:hint="eastAsia" w:ascii="宋体" w:hAnsi="宋体"/>
          <w:b/>
          <w:sz w:val="28"/>
          <w:szCs w:val="44"/>
          <w:u w:val="single"/>
        </w:rPr>
        <w:t>020-83508477，或</w:t>
      </w:r>
      <w:r>
        <w:rPr>
          <w:rFonts w:ascii="宋体" w:hAnsi="宋体"/>
          <w:b/>
          <w:sz w:val="28"/>
          <w:szCs w:val="44"/>
          <w:u w:val="single"/>
        </w:rPr>
        <w:t>电子版发</w:t>
      </w:r>
      <w:r>
        <w:rPr>
          <w:rFonts w:hint="eastAsia" w:ascii="宋体" w:hAnsi="宋体"/>
          <w:b/>
          <w:sz w:val="28"/>
          <w:szCs w:val="44"/>
          <w:u w:val="single"/>
        </w:rPr>
        <w:t>至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373017949</w:t>
      </w:r>
      <w:r>
        <w:rPr>
          <w:rFonts w:ascii="宋体" w:hAnsi="宋体"/>
          <w:b/>
          <w:bCs/>
          <w:sz w:val="28"/>
          <w:szCs w:val="28"/>
          <w:u w:val="single"/>
        </w:rPr>
        <w:t>@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qq.com</w:t>
      </w:r>
    </w:p>
    <w:p/>
    <w:p/>
    <w:p>
      <w:pPr>
        <w:spacing w:before="240" w:line="380" w:lineRule="exact"/>
        <w:outlineLvl w:val="0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附件2</w:t>
      </w:r>
      <w:r>
        <w:rPr>
          <w:rFonts w:ascii="宋体" w:hAnsi="宋体"/>
          <w:b/>
          <w:sz w:val="30"/>
          <w:szCs w:val="30"/>
        </w:rPr>
        <w:t>：</w:t>
      </w:r>
    </w:p>
    <w:p>
      <w:pPr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广州市</w:t>
      </w:r>
      <w:r>
        <w:rPr>
          <w:rFonts w:ascii="宋体" w:hAnsi="宋体"/>
          <w:b/>
          <w:sz w:val="44"/>
          <w:szCs w:val="44"/>
        </w:rPr>
        <w:t>重点企</w:t>
      </w:r>
      <w:r>
        <w:rPr>
          <w:rFonts w:hint="eastAsia" w:ascii="宋体" w:hAnsi="宋体"/>
          <w:b/>
          <w:sz w:val="44"/>
          <w:szCs w:val="44"/>
        </w:rPr>
        <w:t>业卓越</w:t>
      </w:r>
      <w:r>
        <w:rPr>
          <w:rFonts w:ascii="宋体" w:hAnsi="宋体"/>
          <w:b/>
          <w:sz w:val="44"/>
          <w:szCs w:val="44"/>
        </w:rPr>
        <w:t>领袖</w:t>
      </w:r>
      <w:r>
        <w:rPr>
          <w:rFonts w:hint="eastAsia" w:ascii="宋体" w:hAnsi="宋体" w:cs="宋体"/>
          <w:b/>
          <w:bCs/>
          <w:sz w:val="44"/>
          <w:szCs w:val="44"/>
        </w:rPr>
        <w:t>高级研修</w:t>
      </w:r>
      <w:r>
        <w:rPr>
          <w:rFonts w:ascii="宋体" w:hAnsi="宋体" w:cs="宋体"/>
          <w:b/>
          <w:bCs/>
          <w:sz w:val="44"/>
          <w:szCs w:val="44"/>
        </w:rPr>
        <w:t>班</w:t>
      </w:r>
      <w:r>
        <w:rPr>
          <w:rFonts w:hint="eastAsia" w:ascii="宋体" w:hAnsi="宋体" w:cs="宋体"/>
          <w:b/>
          <w:bCs/>
          <w:sz w:val="44"/>
          <w:szCs w:val="44"/>
        </w:rPr>
        <w:t>2019级</w:t>
      </w: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招生</w:t>
      </w:r>
      <w:r>
        <w:rPr>
          <w:rFonts w:ascii="宋体" w:hAnsi="宋体"/>
          <w:b/>
          <w:sz w:val="44"/>
          <w:szCs w:val="44"/>
        </w:rPr>
        <w:t>简</w:t>
      </w:r>
      <w:r>
        <w:rPr>
          <w:rFonts w:hint="eastAsia" w:ascii="宋体" w:hAnsi="宋体"/>
          <w:b/>
          <w:sz w:val="44"/>
          <w:szCs w:val="44"/>
        </w:rPr>
        <w:t>章</w:t>
      </w:r>
    </w:p>
    <w:p>
      <w:pPr>
        <w:spacing w:before="240" w:line="380" w:lineRule="exact"/>
        <w:outlineLvl w:val="0"/>
        <w:rPr>
          <w:rFonts w:ascii="宋体" w:hAnsi="宋体"/>
          <w:b/>
          <w:sz w:val="30"/>
          <w:szCs w:val="30"/>
        </w:rPr>
      </w:pPr>
    </w:p>
    <w:p>
      <w:pPr>
        <w:spacing w:before="240" w:line="460" w:lineRule="exact"/>
        <w:outlineLvl w:val="0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【主办单位】广州工业经济联合会、广州市企业联合会、</w:t>
      </w:r>
    </w:p>
    <w:p>
      <w:pPr>
        <w:spacing w:before="240" w:line="460" w:lineRule="exact"/>
        <w:outlineLvl w:val="0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 xml:space="preserve">            广州市企业家协会</w:t>
      </w:r>
    </w:p>
    <w:p>
      <w:pPr>
        <w:spacing w:before="240" w:line="380" w:lineRule="exact"/>
        <w:outlineLvl w:val="0"/>
        <w:rPr>
          <w:rFonts w:ascii="宋体" w:hAnsi="宋体"/>
          <w:b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【承办单位】广州市中小企业服务中心、中山大学高等继续教育中心</w:t>
      </w:r>
    </w:p>
    <w:p>
      <w:pPr>
        <w:rPr>
          <w:rFonts w:asciiTheme="minorEastAsia" w:hAnsiTheme="minorEastAsia"/>
          <w:b/>
          <w:sz w:val="30"/>
          <w:szCs w:val="30"/>
        </w:rPr>
      </w:pPr>
    </w:p>
    <w:p>
      <w:pPr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sz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3525520</wp:posOffset>
            </wp:positionH>
            <wp:positionV relativeFrom="paragraph">
              <wp:posOffset>132715</wp:posOffset>
            </wp:positionV>
            <wp:extent cx="2520315" cy="2520315"/>
            <wp:effectExtent l="0" t="0" r="280035" b="51435"/>
            <wp:wrapSquare wrapText="bothSides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>
        <w:rPr>
          <w:rFonts w:hint="eastAsia" w:asciiTheme="minorEastAsia" w:hAnsiTheme="minorEastAsia"/>
          <w:b/>
          <w:sz w:val="30"/>
          <w:szCs w:val="30"/>
        </w:rPr>
        <w:t>一、</w:t>
      </w:r>
      <w:r>
        <w:rPr>
          <w:rFonts w:asciiTheme="minorEastAsia" w:hAnsiTheme="minorEastAsia"/>
          <w:b/>
          <w:sz w:val="30"/>
          <w:szCs w:val="30"/>
        </w:rPr>
        <w:t>学习模式</w:t>
      </w:r>
    </w:p>
    <w:p>
      <w:pPr>
        <w:spacing w:line="360" w:lineRule="auto"/>
        <w:contextualSpacing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“师者</w:t>
      </w:r>
      <w:r>
        <w:rPr>
          <w:rFonts w:asciiTheme="minorEastAsia" w:hAnsiTheme="minorEastAsia"/>
          <w:sz w:val="24"/>
        </w:rPr>
        <w:t>，所以传道、授业、解惑也</w:t>
      </w:r>
      <w:r>
        <w:rPr>
          <w:rFonts w:hint="eastAsia" w:asciiTheme="minorEastAsia" w:hAnsiTheme="minorEastAsia"/>
          <w:sz w:val="24"/>
        </w:rPr>
        <w:t>”。然而，经典的EMBA、MBA学习项目长于 “</w:t>
      </w:r>
      <w:r>
        <w:rPr>
          <w:rFonts w:asciiTheme="minorEastAsia" w:hAnsiTheme="minorEastAsia"/>
          <w:sz w:val="24"/>
        </w:rPr>
        <w:t>传道</w:t>
      </w:r>
      <w:r>
        <w:rPr>
          <w:rFonts w:hint="eastAsia" w:asciiTheme="minorEastAsia" w:hAnsiTheme="minorEastAsia"/>
          <w:sz w:val="24"/>
        </w:rPr>
        <w:t>”（</w:t>
      </w:r>
      <w:r>
        <w:rPr>
          <w:rFonts w:asciiTheme="minorEastAsia" w:hAnsiTheme="minorEastAsia"/>
          <w:sz w:val="24"/>
        </w:rPr>
        <w:t>教授学员理论知识</w:t>
      </w:r>
      <w:r>
        <w:rPr>
          <w:rFonts w:hint="eastAsia" w:asciiTheme="minorEastAsia" w:hAnsiTheme="minorEastAsia"/>
          <w:sz w:val="24"/>
        </w:rPr>
        <w:t>），在</w:t>
      </w:r>
      <w:r>
        <w:rPr>
          <w:rFonts w:asciiTheme="minorEastAsia" w:hAnsiTheme="minorEastAsia"/>
          <w:sz w:val="24"/>
        </w:rPr>
        <w:t>“</w:t>
      </w:r>
      <w:r>
        <w:rPr>
          <w:rFonts w:hint="eastAsia" w:asciiTheme="minorEastAsia" w:hAnsiTheme="minorEastAsia"/>
          <w:sz w:val="24"/>
        </w:rPr>
        <w:t>授业</w:t>
      </w:r>
      <w:r>
        <w:rPr>
          <w:rFonts w:asciiTheme="minorEastAsia" w:hAnsiTheme="minorEastAsia"/>
          <w:sz w:val="24"/>
        </w:rPr>
        <w:t>”</w:t>
      </w:r>
      <w:r>
        <w:rPr>
          <w:rFonts w:hint="eastAsia" w:asciiTheme="minorEastAsia" w:hAnsiTheme="minorEastAsia"/>
          <w:sz w:val="24"/>
        </w:rPr>
        <w:t>（掌握</w:t>
      </w:r>
      <w:r>
        <w:rPr>
          <w:rFonts w:asciiTheme="minorEastAsia" w:hAnsiTheme="minorEastAsia"/>
          <w:sz w:val="24"/>
        </w:rPr>
        <w:t>方法</w:t>
      </w:r>
      <w:r>
        <w:rPr>
          <w:rFonts w:hint="eastAsia" w:asciiTheme="minorEastAsia" w:hAnsiTheme="minorEastAsia"/>
          <w:sz w:val="24"/>
        </w:rPr>
        <w:t>论</w:t>
      </w:r>
      <w:r>
        <w:rPr>
          <w:rFonts w:asciiTheme="minorEastAsia" w:hAnsiTheme="minorEastAsia"/>
          <w:sz w:val="24"/>
        </w:rPr>
        <w:t>）</w:t>
      </w:r>
      <w:r>
        <w:rPr>
          <w:rFonts w:hint="eastAsia" w:asciiTheme="minorEastAsia" w:hAnsiTheme="minorEastAsia"/>
          <w:sz w:val="24"/>
        </w:rPr>
        <w:t>及“</w:t>
      </w:r>
      <w:r>
        <w:rPr>
          <w:rFonts w:asciiTheme="minorEastAsia" w:hAnsiTheme="minorEastAsia"/>
          <w:sz w:val="24"/>
        </w:rPr>
        <w:t>解惑</w:t>
      </w:r>
      <w:r>
        <w:rPr>
          <w:rFonts w:hint="eastAsia" w:asciiTheme="minorEastAsia" w:hAnsiTheme="minorEastAsia"/>
          <w:sz w:val="24"/>
        </w:rPr>
        <w:t>”（解决</w:t>
      </w:r>
      <w:r>
        <w:rPr>
          <w:rFonts w:asciiTheme="minorEastAsia" w:hAnsiTheme="minorEastAsia"/>
          <w:sz w:val="24"/>
        </w:rPr>
        <w:t>方案）</w:t>
      </w:r>
      <w:r>
        <w:rPr>
          <w:rFonts w:hint="eastAsia" w:asciiTheme="minorEastAsia" w:hAnsiTheme="minorEastAsia"/>
          <w:sz w:val="24"/>
        </w:rPr>
        <w:t>方面并不突出。本项目</w:t>
      </w:r>
      <w:r>
        <w:rPr>
          <w:rFonts w:asciiTheme="minorEastAsia" w:hAnsiTheme="minorEastAsia"/>
          <w:sz w:val="24"/>
        </w:rPr>
        <w:t>独特的</w:t>
      </w:r>
      <w:r>
        <w:rPr>
          <w:rFonts w:hint="eastAsia" w:asciiTheme="minorEastAsia" w:hAnsiTheme="minorEastAsia"/>
          <w:sz w:val="24"/>
        </w:rPr>
        <w:t>赋能</w:t>
      </w:r>
      <w:r>
        <w:rPr>
          <w:rFonts w:asciiTheme="minorEastAsia" w:hAnsiTheme="minorEastAsia"/>
          <w:sz w:val="24"/>
        </w:rPr>
        <w:t>学习模式，</w:t>
      </w:r>
      <w:r>
        <w:rPr>
          <w:rFonts w:hint="eastAsia" w:asciiTheme="minorEastAsia" w:hAnsiTheme="minorEastAsia"/>
          <w:sz w:val="24"/>
        </w:rPr>
        <w:t>致力于传授方法论并与学员共同寻找企业经营管理的解决方案，从而有效帮助学员成功驾驭</w:t>
      </w:r>
      <w:r>
        <w:rPr>
          <w:rFonts w:asciiTheme="minorEastAsia" w:hAnsiTheme="minorEastAsia"/>
          <w:sz w:val="24"/>
        </w:rPr>
        <w:t>企业战略顶层设计与落地执行</w:t>
      </w:r>
      <w:r>
        <w:rPr>
          <w:rFonts w:hint="eastAsia" w:asciiTheme="minorEastAsia" w:hAnsiTheme="minorEastAsia"/>
          <w:sz w:val="24"/>
        </w:rPr>
        <w:t>管理，</w:t>
      </w:r>
      <w:r>
        <w:rPr>
          <w:rFonts w:asciiTheme="minorEastAsia" w:hAnsiTheme="minorEastAsia"/>
          <w:sz w:val="24"/>
        </w:rPr>
        <w:t>参与到</w:t>
      </w:r>
      <w:r>
        <w:rPr>
          <w:rFonts w:hint="eastAsia" w:asciiTheme="minorEastAsia" w:hAnsiTheme="minorEastAsia"/>
          <w:sz w:val="24"/>
        </w:rPr>
        <w:t>国家</w:t>
      </w:r>
      <w:r>
        <w:rPr>
          <w:rFonts w:asciiTheme="minorEastAsia" w:hAnsiTheme="minorEastAsia"/>
          <w:sz w:val="24"/>
        </w:rPr>
        <w:t>创新驱动发展的新征程中</w:t>
      </w:r>
      <w:r>
        <w:rPr>
          <w:rFonts w:hint="eastAsia" w:asciiTheme="minorEastAsia" w:hAnsiTheme="minorEastAsia"/>
          <w:sz w:val="24"/>
        </w:rPr>
        <w:t>，助推新经济。</w:t>
      </w:r>
    </w:p>
    <w:p>
      <w:pPr>
        <w:spacing w:line="360" w:lineRule="auto"/>
        <w:contextualSpacing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51435</wp:posOffset>
            </wp:positionV>
            <wp:extent cx="2520315" cy="2520315"/>
            <wp:effectExtent l="0" t="0" r="0" b="0"/>
            <wp:wrapSquare wrapText="bothSides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>
        <w:rPr>
          <w:rFonts w:hint="eastAsia" w:asciiTheme="minorEastAsia" w:hAnsiTheme="minorEastAsia"/>
          <w:sz w:val="24"/>
        </w:rPr>
        <w:t>本项目将严格按照“深厚的理论功底，丰富的实战经验，卓越的教学表现”三大标准，遴选、聘请由全国二十所名牌高校联合推荐的师资授担纲经济</w:t>
      </w:r>
      <w:r>
        <w:rPr>
          <w:rFonts w:asciiTheme="minorEastAsia" w:hAnsiTheme="minorEastAsia"/>
          <w:sz w:val="24"/>
        </w:rPr>
        <w:t>、金融理论课程</w:t>
      </w:r>
      <w:r>
        <w:rPr>
          <w:rFonts w:hint="eastAsia" w:asciiTheme="minorEastAsia" w:hAnsiTheme="minorEastAsia"/>
          <w:sz w:val="24"/>
        </w:rPr>
        <w:t>主讲</w:t>
      </w:r>
      <w:r>
        <w:rPr>
          <w:rFonts w:asciiTheme="minorEastAsia" w:hAnsiTheme="minorEastAsia"/>
          <w:sz w:val="24"/>
        </w:rPr>
        <w:t>，站在</w:t>
      </w:r>
      <w:r>
        <w:rPr>
          <w:rFonts w:hint="eastAsia" w:asciiTheme="minorEastAsia" w:hAnsiTheme="minorEastAsia"/>
          <w:sz w:val="24"/>
        </w:rPr>
        <w:t>全局</w:t>
      </w:r>
      <w:r>
        <w:rPr>
          <w:rFonts w:asciiTheme="minorEastAsia" w:hAnsi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全国乃至</w:t>
      </w:r>
      <w:r>
        <w:rPr>
          <w:rFonts w:asciiTheme="minorEastAsia" w:hAnsiTheme="minorEastAsia"/>
          <w:sz w:val="24"/>
        </w:rPr>
        <w:t>全球的高度剖析大势</w:t>
      </w:r>
      <w:r>
        <w:rPr>
          <w:rFonts w:hint="eastAsia" w:asciiTheme="minorEastAsia" w:hAnsiTheme="minorEastAsia"/>
          <w:sz w:val="24"/>
        </w:rPr>
        <w:t>；</w:t>
      </w:r>
      <w:r>
        <w:rPr>
          <w:rFonts w:asciiTheme="minorEastAsia" w:hAnsiTheme="minorEastAsia"/>
          <w:sz w:val="24"/>
        </w:rPr>
        <w:t>力邀</w:t>
      </w:r>
      <w:r>
        <w:rPr>
          <w:rFonts w:hint="eastAsia" w:asciiTheme="minorEastAsia" w:hAnsiTheme="minorEastAsia"/>
          <w:sz w:val="24"/>
        </w:rPr>
        <w:t>包括知名银行家、</w:t>
      </w:r>
      <w:r>
        <w:rPr>
          <w:rFonts w:asciiTheme="minorEastAsia" w:hAnsiTheme="minorEastAsia"/>
          <w:sz w:val="24"/>
        </w:rPr>
        <w:t>投资家和实业家在内的</w:t>
      </w:r>
      <w:r>
        <w:rPr>
          <w:rFonts w:hint="eastAsia" w:asciiTheme="minorEastAsia" w:hAnsiTheme="minorEastAsia"/>
          <w:sz w:val="24"/>
        </w:rPr>
        <w:t>实务</w:t>
      </w:r>
      <w:r>
        <w:rPr>
          <w:rFonts w:asciiTheme="minorEastAsia" w:hAnsiTheme="minorEastAsia"/>
          <w:sz w:val="24"/>
        </w:rPr>
        <w:t>领袖分享</w:t>
      </w:r>
      <w:r>
        <w:rPr>
          <w:rFonts w:hint="eastAsia" w:asciiTheme="minorEastAsia" w:hAnsiTheme="minorEastAsia"/>
          <w:sz w:val="24"/>
        </w:rPr>
        <w:t>独家</w:t>
      </w:r>
      <w:r>
        <w:rPr>
          <w:rFonts w:asciiTheme="minorEastAsia" w:hAnsiTheme="minorEastAsia"/>
          <w:sz w:val="24"/>
        </w:rPr>
        <w:t>经营管理</w:t>
      </w:r>
      <w:r>
        <w:rPr>
          <w:rFonts w:hint="eastAsia" w:asciiTheme="minorEastAsia" w:hAnsiTheme="minorEastAsia"/>
          <w:sz w:val="24"/>
        </w:rPr>
        <w:t>心得；同时，关注</w:t>
      </w:r>
      <w:r>
        <w:rPr>
          <w:rFonts w:asciiTheme="minorEastAsia" w:hAnsiTheme="minorEastAsia"/>
          <w:sz w:val="24"/>
        </w:rPr>
        <w:t>学员个性化</w:t>
      </w:r>
      <w:r>
        <w:rPr>
          <w:rFonts w:hint="eastAsia" w:asciiTheme="minorEastAsia" w:hAnsiTheme="minorEastAsia"/>
          <w:sz w:val="24"/>
        </w:rPr>
        <w:t>需求</w:t>
      </w:r>
      <w:r>
        <w:rPr>
          <w:rFonts w:asciiTheme="minorEastAsia" w:hAnsiTheme="minorEastAsia"/>
          <w:sz w:val="24"/>
        </w:rPr>
        <w:t>，整合专业资深的律师</w:t>
      </w:r>
      <w:r>
        <w:rPr>
          <w:rFonts w:hint="eastAsia" w:asciiTheme="minorEastAsia" w:hAnsiTheme="minorEastAsia"/>
          <w:sz w:val="24"/>
        </w:rPr>
        <w:t>、</w:t>
      </w:r>
      <w:r>
        <w:rPr>
          <w:rFonts w:asciiTheme="minorEastAsia" w:hAnsiTheme="minorEastAsia"/>
          <w:sz w:val="24"/>
        </w:rPr>
        <w:t>会计师</w:t>
      </w:r>
      <w:r>
        <w:rPr>
          <w:rFonts w:hint="eastAsia" w:asciiTheme="minorEastAsia" w:hAnsiTheme="minorEastAsia"/>
          <w:sz w:val="24"/>
        </w:rPr>
        <w:t>、保荐人、投资人等智库资源，成为</w:t>
      </w:r>
      <w:r>
        <w:rPr>
          <w:rFonts w:asciiTheme="minorEastAsia" w:hAnsiTheme="minorEastAsia"/>
          <w:sz w:val="24"/>
        </w:rPr>
        <w:t>帮助学员排忧解难</w:t>
      </w:r>
      <w:r>
        <w:rPr>
          <w:rFonts w:hint="eastAsia" w:asciiTheme="minorEastAsia" w:hAnsiTheme="minorEastAsia"/>
          <w:sz w:val="24"/>
        </w:rPr>
        <w:t>的坚强</w:t>
      </w:r>
      <w:r>
        <w:rPr>
          <w:rFonts w:asciiTheme="minorEastAsia" w:hAnsiTheme="minorEastAsia"/>
          <w:sz w:val="24"/>
        </w:rPr>
        <w:t>后盾。</w:t>
      </w:r>
    </w:p>
    <w:p>
      <w:pPr>
        <w:spacing w:line="360" w:lineRule="auto"/>
        <w:ind w:firstLine="480" w:firstLineChars="200"/>
        <w:contextualSpacing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培养体系由“</w:t>
      </w:r>
      <w:r>
        <w:rPr>
          <w:rFonts w:asciiTheme="minorEastAsia" w:hAnsiTheme="minorEastAsia"/>
          <w:sz w:val="24"/>
        </w:rPr>
        <w:t>必修课程模块</w:t>
      </w:r>
      <w:r>
        <w:rPr>
          <w:rFonts w:hint="eastAsia" w:asciiTheme="minorEastAsia" w:hAnsiTheme="minorEastAsia"/>
          <w:sz w:val="24"/>
        </w:rPr>
        <w:t>+国内游学</w:t>
      </w:r>
      <w:r>
        <w:rPr>
          <w:rFonts w:asciiTheme="minorEastAsia" w:hAnsiTheme="minorEastAsia"/>
          <w:sz w:val="24"/>
        </w:rPr>
        <w:t>课程模块</w:t>
      </w:r>
      <w:r>
        <w:rPr>
          <w:rFonts w:hint="eastAsia" w:asciiTheme="minorEastAsia" w:hAnsiTheme="minorEastAsia"/>
          <w:sz w:val="24"/>
        </w:rPr>
        <w:t>+高端选修课程+资源整合</w:t>
      </w:r>
      <w:r>
        <w:rPr>
          <w:rFonts w:asciiTheme="minorEastAsia" w:hAnsiTheme="minorEastAsia"/>
          <w:sz w:val="24"/>
        </w:rPr>
        <w:t>行动学习+</w:t>
      </w:r>
      <w:r>
        <w:rPr>
          <w:rFonts w:hint="eastAsia" w:asciiTheme="minorEastAsia" w:hAnsiTheme="minorEastAsia"/>
          <w:sz w:val="24"/>
        </w:rPr>
        <w:t>国外选修课程”等</w:t>
      </w:r>
      <w:r>
        <w:rPr>
          <w:rFonts w:asciiTheme="minorEastAsia" w:hAnsiTheme="minorEastAsia"/>
          <w:sz w:val="24"/>
        </w:rPr>
        <w:t>模块有机</w:t>
      </w:r>
      <w:r>
        <w:rPr>
          <w:rFonts w:hint="eastAsia" w:asciiTheme="minorEastAsia" w:hAnsiTheme="minorEastAsia"/>
          <w:sz w:val="24"/>
        </w:rPr>
        <w:t>组成</w:t>
      </w:r>
      <w:r>
        <w:rPr>
          <w:rFonts w:asciiTheme="minorEastAsia" w:hAnsiTheme="minorEastAsia"/>
          <w:sz w:val="24"/>
        </w:rPr>
        <w:t>，</w:t>
      </w:r>
      <w:r>
        <w:rPr>
          <w:rFonts w:hint="eastAsia" w:asciiTheme="minorEastAsia" w:hAnsiTheme="minorEastAsia"/>
          <w:sz w:val="24"/>
        </w:rPr>
        <w:t>学制一年，每月集中授课一次或企业参访交流，</w:t>
      </w:r>
      <w:r>
        <w:rPr>
          <w:rFonts w:hint="eastAsia" w:asciiTheme="minorEastAsia" w:hAnsiTheme="minorEastAsia"/>
          <w:b/>
          <w:sz w:val="24"/>
        </w:rPr>
        <w:t>其中必修课程12天，高端选修课程</w:t>
      </w:r>
      <w:r>
        <w:rPr>
          <w:rFonts w:asciiTheme="minorEastAsia" w:hAnsiTheme="minorEastAsia"/>
          <w:b/>
          <w:sz w:val="24"/>
        </w:rPr>
        <w:t>12</w:t>
      </w:r>
      <w:r>
        <w:rPr>
          <w:rFonts w:hint="eastAsia" w:asciiTheme="minorEastAsia" w:hAnsiTheme="minorEastAsia"/>
          <w:b/>
          <w:sz w:val="24"/>
        </w:rPr>
        <w:t>天，一共24天。</w:t>
      </w:r>
      <w:r>
        <w:rPr>
          <w:rFonts w:hint="eastAsia" w:asciiTheme="minorEastAsia" w:hAnsiTheme="minorEastAsia"/>
          <w:sz w:val="24"/>
        </w:rPr>
        <w:t>上课形式包括“校内授课+校外移动课堂+同学企业参访+主题私董会+名家论坛+国内外游学+班级创投峰会”等。</w:t>
      </w:r>
    </w:p>
    <w:p>
      <w:pPr>
        <w:rPr>
          <w:rFonts w:asciiTheme="minorEastAsia" w:hAnsiTheme="minorEastAsia"/>
          <w:b/>
          <w:sz w:val="30"/>
          <w:szCs w:val="30"/>
        </w:rPr>
      </w:pPr>
    </w:p>
    <w:p>
      <w:pPr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二、</w:t>
      </w:r>
      <w:r>
        <w:rPr>
          <w:rFonts w:asciiTheme="minorEastAsia" w:hAnsiTheme="minorEastAsia"/>
          <w:b/>
          <w:sz w:val="30"/>
          <w:szCs w:val="30"/>
        </w:rPr>
        <w:t>必修课程</w:t>
      </w:r>
    </w:p>
    <w:tbl>
      <w:tblPr>
        <w:tblStyle w:val="5"/>
        <w:tblW w:w="83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167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838" w:type="dxa"/>
            <w:tcBorders>
              <w:bottom w:val="single" w:color="auto" w:sz="4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模块</w:t>
            </w:r>
          </w:p>
        </w:tc>
        <w:tc>
          <w:tcPr>
            <w:tcW w:w="5167" w:type="dxa"/>
            <w:tcBorders>
              <w:bottom w:val="single" w:color="auto" w:sz="4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课程主题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第一篇：宏观形势与企业机遇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国际政治</w:t>
            </w:r>
          </w:p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经济形势</w:t>
            </w:r>
          </w:p>
        </w:tc>
        <w:tc>
          <w:tcPr>
            <w:tcW w:w="5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特朗普时代的美国政治、经济选择</w:t>
            </w:r>
          </w:p>
        </w:tc>
        <w:tc>
          <w:tcPr>
            <w:tcW w:w="1354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1</w:t>
            </w:r>
            <w:r>
              <w:rPr>
                <w:rFonts w:hint="eastAsia" w:asciiTheme="minorEastAsia" w:hAnsiTheme="minor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欧洲政治、经济格局新观察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中国周边政治热点与外交关系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新兴经济体的政治经济形势与机遇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中国</w:t>
            </w:r>
            <w:r>
              <w:rPr>
                <w:rFonts w:asciiTheme="minorEastAsia" w:hAnsiTheme="minorEastAsia"/>
                <w:b/>
                <w:sz w:val="24"/>
              </w:rPr>
              <w:t>经济</w:t>
            </w:r>
          </w:p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形势</w:t>
            </w:r>
            <w:r>
              <w:rPr>
                <w:rFonts w:hint="eastAsia" w:asciiTheme="minorEastAsia" w:hAnsiTheme="minorEastAsia"/>
                <w:b/>
                <w:sz w:val="24"/>
              </w:rPr>
              <w:t>分析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大国博弈背景下的金融战略透视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1</w:t>
            </w:r>
            <w:r>
              <w:rPr>
                <w:rFonts w:hint="eastAsia" w:asciiTheme="minorEastAsia" w:hAnsiTheme="minor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纵深发展的一带一路战略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西方贸易</w:t>
            </w:r>
            <w:r>
              <w:rPr>
                <w:rFonts w:asciiTheme="minorEastAsia" w:hAnsiTheme="minorEastAsia"/>
                <w:sz w:val="24"/>
              </w:rPr>
              <w:t>保护</w:t>
            </w:r>
            <w:r>
              <w:rPr>
                <w:rFonts w:hint="eastAsia" w:asciiTheme="minorEastAsia" w:hAnsiTheme="minorEastAsia"/>
                <w:sz w:val="24"/>
              </w:rPr>
              <w:t>与</w:t>
            </w:r>
            <w:r>
              <w:rPr>
                <w:rFonts w:asciiTheme="minorEastAsia" w:hAnsiTheme="minorEastAsia"/>
                <w:sz w:val="24"/>
              </w:rPr>
              <w:t>中国应对</w:t>
            </w:r>
            <w:r>
              <w:rPr>
                <w:rFonts w:hint="eastAsia" w:asciiTheme="minorEastAsia" w:hAnsiTheme="minorEastAsia"/>
                <w:sz w:val="24"/>
              </w:rPr>
              <w:t>策略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国家粤港澳大湾区战略规划与定位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359" w:type="dxa"/>
            <w:gridSpan w:val="3"/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:shd w:val="clear" w:color="auto" w:fill="045A24"/>
                <w14:textFill>
                  <w14:solidFill>
                    <w14:schemeClr w14:val="bg1"/>
                  </w14:solidFill>
                </w14:textFill>
              </w:rPr>
              <w:t>第二篇：企业战略与制度的顶层设计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公司治理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现代企业制度与公司治理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企业内部控制与风险管理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股权激励机制设计与运用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事业合伙人制度与内部创业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战略变革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企业战略顶层设计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2</w:t>
            </w:r>
            <w:r>
              <w:rPr>
                <w:rFonts w:hint="eastAsia" w:asciiTheme="minorEastAsia" w:hAnsiTheme="minor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变革与创新管理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定位与蓝海战略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商业模式与公司价值创新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359" w:type="dxa"/>
            <w:gridSpan w:val="3"/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第三篇：投融资决策与公司价值创新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投资策略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公司金融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多层次资本市场与金融监管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项目投资决策分析与风险管理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金融科技的趋势与投资机遇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融资策略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公司价值评估模型与实务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融资模式与融资渠道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股权融资的实务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企业融资中的财务、税务、法律实务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I</w:t>
            </w:r>
            <w:r>
              <w:rPr>
                <w:rFonts w:asciiTheme="minorEastAsia" w:hAnsi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</w:rPr>
              <w:t>P</w:t>
            </w:r>
            <w:r>
              <w:rPr>
                <w:rFonts w:asciiTheme="minorEastAsia" w:hAnsi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</w:rPr>
              <w:t>O与</w:t>
            </w:r>
          </w:p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资本运作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新时期境内外IPO规则解读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中小企业资本运作实务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兼并与收购案例研讨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市值管理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9" w:type="dxa"/>
            <w:gridSpan w:val="3"/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第四篇</w:t>
            </w:r>
            <w:r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游学交流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杭州游学</w:t>
            </w: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浙江大学：新零售与互联网营销洞察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3</w:t>
            </w:r>
            <w:r>
              <w:rPr>
                <w:rFonts w:hint="eastAsia" w:asciiTheme="minorEastAsia" w:hAnsiTheme="minor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spacing w:line="0" w:lineRule="atLeast"/>
              <w:contextualSpacing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浙江大学：创新管理与核心竞争力构建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游学考察：梦想小镇、云栖小镇、基金小镇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67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参访交流：阿里巴巴、海康威视、万事利集团</w:t>
            </w:r>
          </w:p>
        </w:tc>
        <w:tc>
          <w:tcPr>
            <w:tcW w:w="1354" w:type="dxa"/>
            <w:vMerge w:val="continue"/>
            <w:shd w:val="clear" w:color="auto" w:fill="auto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三、</w:t>
      </w:r>
      <w:r>
        <w:rPr>
          <w:rFonts w:asciiTheme="minorEastAsia" w:hAnsiTheme="minorEastAsia"/>
          <w:b/>
          <w:sz w:val="30"/>
          <w:szCs w:val="30"/>
        </w:rPr>
        <w:t>选修课程</w:t>
      </w:r>
    </w:p>
    <w:tbl>
      <w:tblPr>
        <w:tblStyle w:val="4"/>
        <w:tblW w:w="8356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left w:w="170" w:type="dxa"/>
          <w:bottom w:w="57" w:type="dxa"/>
          <w:right w:w="0" w:type="dxa"/>
        </w:tblCellMar>
      </w:tblPr>
      <w:tblGrid>
        <w:gridCol w:w="1835"/>
        <w:gridCol w:w="5102"/>
        <w:gridCol w:w="141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模块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课程主题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45A24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课时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经管前沿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经济新常态、改革新趋势</w:t>
            </w:r>
          </w:p>
        </w:tc>
        <w:tc>
          <w:tcPr>
            <w:tcW w:w="141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天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一带一路与全球化下的企业机遇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粤港澳大湾区战略规划解读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领导艺术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锻造卓越领导力</w:t>
            </w:r>
          </w:p>
        </w:tc>
        <w:tc>
          <w:tcPr>
            <w:tcW w:w="141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4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天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核心团队建设与关键人才管理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赋能式管理与变革型领导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国学智慧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国学经典中的领导艺术</w:t>
            </w:r>
          </w:p>
        </w:tc>
        <w:tc>
          <w:tcPr>
            <w:tcW w:w="141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3天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历史中的经营管理智慧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军事韬略与企业竞争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科技创新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大数据、物联网与云计算的应用</w:t>
            </w:r>
          </w:p>
        </w:tc>
        <w:tc>
          <w:tcPr>
            <w:tcW w:w="141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4天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虚拟现实的伦理与未来展望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人工智能的技术前沿与产业趋势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个人素养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领导者的演讲与表达训练</w:t>
            </w:r>
          </w:p>
        </w:tc>
        <w:tc>
          <w:tcPr>
            <w:tcW w:w="141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3天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企业家财商训练与财富管理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企业家社会责任与慈善公益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3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45A24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行动学习</w:t>
            </w:r>
            <w:r>
              <w:rPr>
                <w:rFonts w:asciiTheme="minorEastAsia" w:hAnsiTheme="minorEastAsia"/>
                <w:b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行动学习</w:t>
            </w: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粤港澳大湾区标杆企业考察学习</w:t>
            </w:r>
          </w:p>
        </w:tc>
        <w:tc>
          <w:tcPr>
            <w:tcW w:w="1419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不定期举行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新创企业</w:t>
            </w:r>
            <w:r>
              <w:rPr>
                <w:rFonts w:asciiTheme="minorEastAsia" w:hAnsiTheme="minorEastAsia"/>
                <w:color w:val="000000"/>
                <w:sz w:val="24"/>
              </w:rPr>
              <w:t>战略定位与市场策略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分享会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项目</w:t>
            </w:r>
            <w:r>
              <w:rPr>
                <w:rFonts w:asciiTheme="minorEastAsia" w:hAnsiTheme="minorEastAsia"/>
                <w:color w:val="000000"/>
                <w:sz w:val="24"/>
              </w:rPr>
              <w:t>估值、谈判与投融资实务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分享会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学员</w:t>
            </w:r>
            <w:r>
              <w:rPr>
                <w:rFonts w:asciiTheme="minorEastAsia" w:hAnsiTheme="minorEastAsia"/>
                <w:color w:val="000000"/>
                <w:sz w:val="24"/>
              </w:rPr>
              <w:t>优秀项目路演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与创投</w:t>
            </w:r>
            <w:r>
              <w:rPr>
                <w:rFonts w:asciiTheme="minorEastAsia" w:hAnsiTheme="minorEastAsia"/>
                <w:color w:val="000000"/>
                <w:sz w:val="24"/>
              </w:rPr>
              <w:t>对接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57" w:type="dxa"/>
            <w:left w:w="170" w:type="dxa"/>
            <w:bottom w:w="57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3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5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知名投资机构投资人交流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对接</w:t>
            </w:r>
          </w:p>
        </w:tc>
        <w:tc>
          <w:tcPr>
            <w:tcW w:w="141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</w:tbl>
    <w:p>
      <w:pPr>
        <w:spacing w:line="360" w:lineRule="auto"/>
        <w:ind w:right="2310" w:rightChars="1100"/>
        <w:jc w:val="left"/>
        <w:rPr>
          <w:rFonts w:asciiTheme="minorEastAsia" w:hAnsiTheme="minorEastAsia"/>
          <w:b/>
          <w:sz w:val="24"/>
        </w:rPr>
      </w:pPr>
    </w:p>
    <w:p>
      <w:pPr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四、拟聘</w:t>
      </w:r>
      <w:r>
        <w:rPr>
          <w:rFonts w:asciiTheme="minorEastAsia" w:hAnsiTheme="minorEastAsia"/>
          <w:b/>
          <w:sz w:val="30"/>
          <w:szCs w:val="30"/>
        </w:rPr>
        <w:t>师资</w:t>
      </w:r>
    </w:p>
    <w:tbl>
      <w:tblPr>
        <w:tblStyle w:val="5"/>
        <w:tblpPr w:leftFromText="180" w:rightFromText="180" w:vertAnchor="text" w:horzAnchor="page" w:tblpXSpec="center" w:tblpY="347"/>
        <w:tblOverlap w:val="never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shd w:val="clear" w:color="auto" w:fill="045A24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姓名</w:t>
            </w:r>
          </w:p>
        </w:tc>
        <w:tc>
          <w:tcPr>
            <w:tcW w:w="7087" w:type="dxa"/>
            <w:shd w:val="clear" w:color="auto" w:fill="045A24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师资简介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刘健钧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经济学</w:t>
            </w:r>
            <w:r>
              <w:rPr>
                <w:rFonts w:asciiTheme="minorEastAsia" w:hAnsiTheme="minorEastAsia"/>
                <w:sz w:val="24"/>
              </w:rPr>
              <w:t>博士、管理学博士后，</w:t>
            </w:r>
            <w:r>
              <w:rPr>
                <w:rFonts w:hint="eastAsia" w:asciiTheme="minorEastAsia" w:hAnsiTheme="minorEastAsia"/>
                <w:sz w:val="24"/>
              </w:rPr>
              <w:t>国家发改委财政金融司金融处处长，曾任中国证监会私募基金监管部副主任。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崔  毅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华南“风投教母”、“天使妈妈”，中创崔毅天使基金有限合伙人，华南理工大学教授、博导，华工大学科技园董事长。兼任精艺股份等国家公司独立董事。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周  蕊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金杜律师事务所深圳分所证券部合伙人，全国工商联并购公会深圳办事处副主任、深交所培训部讲师、深圳中小企业改制专家服务团专家。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韩  峰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清华大学iCenter导师 DACA区块链协会秘书长，亚洲区块链DACA协会秘书长，中国工信部区块链工程实验室筹备组成员，主编了《区块链开发与实例》《区块链量子财富观》等书。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 xml:space="preserve">魏 </w:t>
            </w:r>
            <w:r>
              <w:rPr>
                <w:rFonts w:asciiTheme="minorEastAsia" w:hAnsi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</w:rPr>
              <w:t>杰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清华大学经济管理学院教授、博士生导师，兼任中国国有资产管理学会副会长、国务院国家国有资产管理局研究所所长。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李  磊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国家发改委管理中国创投专委会副会长，</w:t>
            </w:r>
            <w:bookmarkStart w:id="0" w:name="OLE_LINK12"/>
            <w:r>
              <w:rPr>
                <w:rFonts w:hint="eastAsia" w:asciiTheme="minorEastAsia" w:hAnsiTheme="minorEastAsia"/>
                <w:sz w:val="24"/>
              </w:rPr>
              <w:t>华夏</w:t>
            </w:r>
            <w:bookmarkStart w:id="1" w:name="OLE_LINK5"/>
            <w:r>
              <w:rPr>
                <w:rFonts w:hint="eastAsia" w:asciiTheme="minorEastAsia" w:hAnsiTheme="minorEastAsia"/>
                <w:sz w:val="24"/>
              </w:rPr>
              <w:t>复星</w:t>
            </w:r>
            <w:bookmarkEnd w:id="0"/>
            <w:bookmarkEnd w:id="1"/>
            <w:r>
              <w:rPr>
                <w:rFonts w:hint="eastAsia" w:asciiTheme="minorEastAsia" w:hAnsiTheme="minorEastAsia"/>
                <w:sz w:val="24"/>
              </w:rPr>
              <w:t>金融投资有限公司总裁。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</w:rPr>
              <w:t>任剑涛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曾任中山大学政治与公共事务管理学院教授、院长。教育部百所人文社会科学研究基地——行政管理研究中心教授，教育部百所人文社会科学研究基地——马克思主义与中国文化研究所教授，政治学理论与行政管理跨专业博士生导师。现为清华大学政治学系教授，教育部“长江学者”特聘教授，教育部“新世纪优秀人才支持计划”入选者，享受国务院政府特殊津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吴隆增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厦门大学教授，博士生导师，中国人民大学企业创新与竞争力研究中心特约研究员，教育部新世纪优秀人才支持计划以及上海市浦江人才入选者，以及多家企业和投资公司高级咨询顾问。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戴亦一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厦门大学管理学院教授、博士生导师，曾兼任厦门大学福兰德市场调查事务所副所长的长达五年，积累了丰富的市场研究经验。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周  立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清华大学经济管理学院会计系教授，现为海淀区政府顾问，担任多家上市公司独立董事，具有丰富的资本</w:t>
            </w:r>
            <w:r>
              <w:rPr>
                <w:rFonts w:asciiTheme="minorEastAsia" w:hAnsiTheme="minorEastAsia"/>
                <w:sz w:val="24"/>
              </w:rPr>
              <w:t>运作</w:t>
            </w:r>
            <w:r>
              <w:rPr>
                <w:rFonts w:hint="eastAsia" w:asciiTheme="minorEastAsia" w:hAnsiTheme="minorEastAsia"/>
                <w:sz w:val="24"/>
              </w:rPr>
              <w:t>实际经验，对企业运营与战略兼有理论与实际的历练。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徐小平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真格</w:t>
            </w:r>
            <w:r>
              <w:rPr>
                <w:rFonts w:asciiTheme="minorEastAsia" w:hAnsiTheme="minorEastAsia"/>
                <w:sz w:val="24"/>
              </w:rPr>
              <w:t>基金</w:t>
            </w:r>
            <w:r>
              <w:rPr>
                <w:rFonts w:hint="eastAsia" w:asciiTheme="minorEastAsia" w:hAnsiTheme="minorEastAsia"/>
                <w:sz w:val="24"/>
              </w:rPr>
              <w:t>创始人，中国</w:t>
            </w:r>
            <w:r>
              <w:rPr>
                <w:rFonts w:asciiTheme="minorEastAsia" w:hAnsiTheme="minorEastAsia"/>
                <w:sz w:val="24"/>
              </w:rPr>
              <w:t>著名天使投资人，</w:t>
            </w:r>
            <w:r>
              <w:rPr>
                <w:rFonts w:hint="eastAsia" w:asciiTheme="minorEastAsia" w:hAnsiTheme="minorEastAsia"/>
                <w:sz w:val="24"/>
              </w:rPr>
              <w:t>兼任中国天使会主席、中国证监会基金业协会天使投资专业委员会主席，</w:t>
            </w:r>
            <w:r>
              <w:rPr>
                <w:rFonts w:asciiTheme="minorEastAsia" w:hAnsiTheme="minorEastAsia"/>
                <w:sz w:val="24"/>
              </w:rPr>
              <w:t>曾任新东方教育科技集团董事、新东方文化发展研究院院长。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杨小强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广州中山大学法学院税法与经济法教授、博士实战商业法律教授，曾就职最高人民法院，参与多部法律起草与审核工作。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陆满平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中国社会科学院产业经济学博士</w:t>
            </w:r>
            <w:r>
              <w:rPr>
                <w:rFonts w:asciiTheme="minorEastAsia" w:hAnsiTheme="minorEastAsia"/>
                <w:sz w:val="24"/>
              </w:rPr>
              <w:t>，</w:t>
            </w:r>
            <w:r>
              <w:rPr>
                <w:rFonts w:hint="eastAsia" w:asciiTheme="minorEastAsia" w:hAnsiTheme="minorEastAsia"/>
                <w:sz w:val="24"/>
              </w:rPr>
              <w:t>深圳证券交易所高级研究员、 教授，第一证券有限公司首席经济学家。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李善民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中山大学副校长，中山大学</w:t>
            </w:r>
            <w:r>
              <w:rPr>
                <w:rFonts w:asciiTheme="minorEastAsia" w:hAnsiTheme="minorEastAsia"/>
                <w:sz w:val="24"/>
              </w:rPr>
              <w:t>管理学院教授、博士生导师，</w:t>
            </w:r>
            <w:r>
              <w:rPr>
                <w:rFonts w:hint="eastAsia" w:asciiTheme="minorEastAsia" w:hAnsiTheme="minorEastAsia"/>
                <w:sz w:val="24"/>
              </w:rPr>
              <w:t>国家高端智库中山大学粤港澳发展研究院研究院，广东省</w:t>
            </w:r>
            <w:r>
              <w:rPr>
                <w:rFonts w:asciiTheme="minorEastAsia" w:hAnsiTheme="minorEastAsia"/>
                <w:sz w:val="24"/>
              </w:rPr>
              <w:t>重点智库</w:t>
            </w:r>
            <w:r>
              <w:rPr>
                <w:rFonts w:hint="eastAsia" w:asciiTheme="minorEastAsia" w:hAnsiTheme="minorEastAsia"/>
                <w:sz w:val="24"/>
              </w:rPr>
              <w:t>中山大学自贸区综合研究院院长</w:t>
            </w:r>
            <w:r>
              <w:rPr>
                <w:rFonts w:asciiTheme="minorEastAsia" w:hAnsiTheme="minorEastAsia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李孔岳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制度</w:t>
            </w:r>
            <w:r>
              <w:rPr>
                <w:rFonts w:asciiTheme="minorEastAsia" w:hAnsiTheme="minorEastAsia"/>
                <w:sz w:val="24"/>
              </w:rPr>
              <w:t>经济学博士，</w:t>
            </w:r>
            <w:r>
              <w:rPr>
                <w:rFonts w:hint="eastAsia" w:asciiTheme="minorEastAsia" w:hAnsiTheme="minorEastAsia"/>
                <w:sz w:val="24"/>
              </w:rPr>
              <w:t>中山大学管理学院教授、博士生导师，中山大学</w:t>
            </w:r>
            <w:r>
              <w:rPr>
                <w:rFonts w:asciiTheme="minorEastAsia" w:hAnsiTheme="minorEastAsia"/>
                <w:sz w:val="24"/>
              </w:rPr>
              <w:t>管理学院</w:t>
            </w:r>
            <w:r>
              <w:rPr>
                <w:rFonts w:hint="eastAsia" w:asciiTheme="minorEastAsia" w:hAnsiTheme="minorEastAsia"/>
                <w:sz w:val="24"/>
              </w:rPr>
              <w:t>EDP教育</w:t>
            </w:r>
            <w:r>
              <w:rPr>
                <w:rFonts w:asciiTheme="minorEastAsia" w:hAnsiTheme="minorEastAsia"/>
                <w:sz w:val="24"/>
              </w:rPr>
              <w:t>中心主任，</w:t>
            </w:r>
            <w:r>
              <w:rPr>
                <w:rFonts w:hint="eastAsia" w:asciiTheme="minorEastAsia" w:hAnsiTheme="minorEastAsia"/>
                <w:sz w:val="24"/>
              </w:rPr>
              <w:t>中国EDP联盟主席，兼任广多家大中型企业管理顾问。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丁  力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复旦大学经济学博士，广东省社会科学院经济学研究员，曾</w:t>
            </w:r>
            <w:r>
              <w:rPr>
                <w:rFonts w:asciiTheme="minorEastAsia" w:hAnsiTheme="minorEastAsia"/>
                <w:sz w:val="24"/>
              </w:rPr>
              <w:t>任</w:t>
            </w:r>
            <w:r>
              <w:rPr>
                <w:rFonts w:hint="eastAsia" w:asciiTheme="minorEastAsia" w:hAnsiTheme="minorEastAsia"/>
                <w:sz w:val="24"/>
              </w:rPr>
              <w:t>浙江大学旅游学院副院长、教授，省</w:t>
            </w:r>
            <w:r>
              <w:rPr>
                <w:rFonts w:asciiTheme="minorEastAsia" w:hAnsiTheme="minorEastAsia"/>
                <w:sz w:val="24"/>
              </w:rPr>
              <w:t>社科院</w:t>
            </w:r>
            <w:r>
              <w:rPr>
                <w:rFonts w:hint="eastAsia" w:asciiTheme="minorEastAsia" w:hAnsiTheme="minorEastAsia"/>
                <w:sz w:val="24"/>
              </w:rPr>
              <w:t>区域与企业竞争力研究中心主任，兼任广东省人大前财经顾问、</w:t>
            </w:r>
            <w:r>
              <w:rPr>
                <w:rFonts w:asciiTheme="minorEastAsia" w:hAnsiTheme="minorEastAsia"/>
                <w:sz w:val="24"/>
              </w:rPr>
              <w:t>东莞市政府顾问</w:t>
            </w:r>
            <w:r>
              <w:rPr>
                <w:rFonts w:hint="eastAsia" w:asciiTheme="minorEastAsia" w:hAnsiTheme="minorEastAsia"/>
                <w:sz w:val="24"/>
              </w:rPr>
              <w:t>等职。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卢  锐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中山大学金融系教授，博士生导师，会计与资本运营研究中心主任。财政部全国会计领军人才，中国上市公司协会专家委员。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刘娥平</w:t>
            </w:r>
          </w:p>
        </w:tc>
        <w:tc>
          <w:tcPr>
            <w:tcW w:w="7087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中山大学管理学院教授、博士生导师，财务</w:t>
            </w:r>
            <w:r>
              <w:rPr>
                <w:rFonts w:asciiTheme="minorEastAsia" w:hAnsiTheme="minorEastAsia"/>
                <w:sz w:val="24"/>
              </w:rPr>
              <w:t>与投资系学科带头人</w:t>
            </w:r>
            <w:r>
              <w:rPr>
                <w:rFonts w:hint="eastAsia" w:asciiTheme="minorEastAsia" w:hAnsiTheme="minorEastAsia"/>
                <w:sz w:val="24"/>
              </w:rPr>
              <w:t>，广东省省情调查与对策咨询专家库专家。曾担任广东奥马电器、中海海盛公司独立董事，审计委员会主任。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>
      <w:pPr>
        <w:spacing w:line="344" w:lineRule="exact"/>
        <w:ind w:left="113" w:right="-20"/>
        <w:jc w:val="left"/>
        <w:rPr>
          <w:rFonts w:ascii="华文宋体" w:hAnsi="华文宋体" w:eastAsia="华文宋体" w:cs="华文宋体"/>
          <w:b/>
          <w:bCs/>
          <w:sz w:val="28"/>
          <w:szCs w:val="28"/>
        </w:rPr>
      </w:pPr>
    </w:p>
    <w:p>
      <w:pPr>
        <w:spacing w:line="344" w:lineRule="exact"/>
        <w:ind w:left="113" w:right="-20"/>
        <w:jc w:val="left"/>
        <w:rPr>
          <w:rFonts w:ascii="华文宋体" w:hAnsi="华文宋体" w:eastAsia="华文宋体" w:cs="华文宋体"/>
          <w:b/>
          <w:bCs/>
          <w:sz w:val="28"/>
          <w:szCs w:val="28"/>
        </w:rPr>
      </w:pPr>
    </w:p>
    <w:p>
      <w:pPr>
        <w:spacing w:line="344" w:lineRule="exact"/>
        <w:ind w:left="113" w:right="-20"/>
        <w:jc w:val="left"/>
        <w:rPr>
          <w:rFonts w:ascii="华文宋体" w:hAnsi="华文宋体" w:eastAsia="华文宋体" w:cs="华文宋体"/>
          <w:b/>
          <w:bCs/>
          <w:sz w:val="28"/>
          <w:szCs w:val="28"/>
        </w:rPr>
      </w:pPr>
      <w:r>
        <w:rPr>
          <w:rFonts w:hint="eastAsia" w:ascii="华文宋体" w:hAnsi="华文宋体" w:eastAsia="华文宋体" w:cs="华文宋体"/>
          <w:b/>
          <w:bCs/>
          <w:sz w:val="28"/>
          <w:szCs w:val="28"/>
        </w:rPr>
        <w:t>五、费</w:t>
      </w:r>
      <w:r>
        <w:rPr>
          <w:rFonts w:hint="eastAsia" w:ascii="华文宋体" w:hAnsi="华文宋体" w:eastAsia="华文宋体" w:cs="华文宋体"/>
          <w:b/>
          <w:bCs/>
          <w:spacing w:val="-3"/>
          <w:sz w:val="28"/>
          <w:szCs w:val="28"/>
        </w:rPr>
        <w:t>用</w:t>
      </w:r>
      <w:r>
        <w:rPr>
          <w:rFonts w:hint="eastAsia" w:ascii="华文宋体" w:hAnsi="华文宋体" w:eastAsia="华文宋体" w:cs="华文宋体"/>
          <w:b/>
          <w:bCs/>
          <w:sz w:val="28"/>
          <w:szCs w:val="28"/>
        </w:rPr>
        <w:t>及教学</w:t>
      </w:r>
      <w:r>
        <w:rPr>
          <w:rFonts w:hint="eastAsia" w:ascii="华文宋体" w:hAnsi="华文宋体" w:eastAsia="华文宋体" w:cs="华文宋体"/>
          <w:b/>
          <w:bCs/>
          <w:spacing w:val="-3"/>
          <w:sz w:val="28"/>
          <w:szCs w:val="28"/>
        </w:rPr>
        <w:t>安</w:t>
      </w:r>
      <w:r>
        <w:rPr>
          <w:rFonts w:hint="eastAsia" w:ascii="华文宋体" w:hAnsi="华文宋体" w:eastAsia="华文宋体" w:cs="华文宋体"/>
          <w:b/>
          <w:bCs/>
          <w:sz w:val="28"/>
          <w:szCs w:val="28"/>
        </w:rPr>
        <w:t>排</w:t>
      </w:r>
    </w:p>
    <w:p>
      <w:pPr>
        <w:spacing w:before="8" w:line="140" w:lineRule="exact"/>
        <w:jc w:val="left"/>
        <w:rPr>
          <w:rFonts w:ascii="华文宋体" w:hAnsi="华文宋体" w:eastAsia="华文宋体" w:cs="华文宋体"/>
          <w:sz w:val="14"/>
          <w:szCs w:val="14"/>
        </w:rPr>
      </w:pPr>
    </w:p>
    <w:p>
      <w:pPr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学习方式：</w:t>
      </w:r>
      <w:r>
        <w:rPr>
          <w:rFonts w:hint="eastAsia" w:asciiTheme="minorEastAsia" w:hAnsiTheme="minorEastAsia"/>
          <w:sz w:val="24"/>
        </w:rPr>
        <w:t>学制一年，每月一次周末学习1-2天。</w:t>
      </w:r>
    </w:p>
    <w:p>
      <w:pPr>
        <w:spacing w:line="360" w:lineRule="auto"/>
        <w:ind w:left="1310" w:leftChars="50" w:hanging="1205" w:hangingChars="50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TW"/>
        </w:rPr>
        <w:t>学习费用：</w:t>
      </w:r>
      <w:r>
        <w:rPr>
          <w:rFonts w:hint="eastAsia" w:ascii="宋体" w:hAnsi="宋体"/>
          <w:color w:val="000000"/>
          <w:sz w:val="24"/>
          <w:lang w:eastAsia="zh-TW"/>
        </w:rPr>
        <w:t>学费</w:t>
      </w:r>
      <w:r>
        <w:rPr>
          <w:rFonts w:hint="eastAsia" w:ascii="宋体" w:hAnsi="宋体"/>
          <w:color w:val="000000"/>
          <w:sz w:val="24"/>
        </w:rPr>
        <w:t>31800</w:t>
      </w:r>
      <w:r>
        <w:rPr>
          <w:rFonts w:hint="eastAsia" w:ascii="宋体" w:hAnsi="宋体"/>
          <w:color w:val="000000"/>
          <w:sz w:val="24"/>
          <w:lang w:eastAsia="zh-TW"/>
        </w:rPr>
        <w:t>元</w:t>
      </w:r>
      <w:r>
        <w:rPr>
          <w:rFonts w:ascii="宋体" w:hAnsi="宋体"/>
          <w:color w:val="000000"/>
          <w:sz w:val="24"/>
          <w:lang w:eastAsia="zh-TW"/>
        </w:rPr>
        <w:t>RMB</w:t>
      </w:r>
      <w:r>
        <w:rPr>
          <w:rFonts w:hint="eastAsia" w:ascii="宋体" w:hAnsi="宋体"/>
          <w:color w:val="000000"/>
          <w:sz w:val="24"/>
        </w:rPr>
        <w:t>(含授课、教务、教材、资料、辅导、课间茶点),国内游学课程自由选择（机票、食宿费用自理）。</w:t>
      </w:r>
    </w:p>
    <w:p>
      <w:pPr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TW"/>
        </w:rPr>
        <w:t>报名材料:</w:t>
      </w:r>
      <w:r>
        <w:rPr>
          <w:rFonts w:hint="eastAsia" w:ascii="宋体" w:hAnsi="宋体"/>
          <w:b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  <w:lang w:eastAsia="zh-TW"/>
        </w:rPr>
        <w:t>身份证复印件</w:t>
      </w:r>
      <w:r>
        <w:rPr>
          <w:rFonts w:hint="eastAsia" w:ascii="宋体" w:hAnsi="宋体"/>
          <w:color w:val="000000"/>
          <w:sz w:val="24"/>
        </w:rPr>
        <w:t>、</w:t>
      </w:r>
      <w:r>
        <w:rPr>
          <w:rFonts w:hint="eastAsia" w:ascii="宋体" w:hAnsi="宋体"/>
          <w:color w:val="000000"/>
          <w:sz w:val="24"/>
          <w:lang w:eastAsia="zh-TW"/>
        </w:rPr>
        <w:t>二寸蓝底彩色照片</w:t>
      </w:r>
      <w:r>
        <w:rPr>
          <w:rFonts w:hint="eastAsia" w:ascii="宋体" w:hAnsi="宋体"/>
          <w:color w:val="000000"/>
          <w:sz w:val="24"/>
        </w:rPr>
        <w:t>、</w:t>
      </w:r>
      <w:r>
        <w:rPr>
          <w:rFonts w:hint="eastAsia" w:ascii="宋体" w:hAnsi="宋体"/>
          <w:color w:val="000000"/>
          <w:sz w:val="24"/>
          <w:lang w:eastAsia="zh-TW"/>
        </w:rPr>
        <w:t>名片</w:t>
      </w:r>
      <w:r>
        <w:rPr>
          <w:rFonts w:hint="eastAsia" w:ascii="宋体" w:hAnsi="宋体"/>
          <w:color w:val="000000"/>
          <w:sz w:val="24"/>
        </w:rPr>
        <w:t>各两份</w:t>
      </w:r>
      <w:r>
        <w:rPr>
          <w:rFonts w:hint="eastAsia" w:ascii="宋体" w:hAnsi="宋体"/>
          <w:color w:val="000000"/>
          <w:sz w:val="24"/>
          <w:lang w:eastAsia="zh-TW"/>
        </w:rPr>
        <w:t>，公司简介一份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报名流程：</w:t>
      </w:r>
      <w:r>
        <w:rPr>
          <w:rFonts w:hint="eastAsia" w:ascii="宋体" w:hAnsi="宋体"/>
          <w:color w:val="000000"/>
          <w:sz w:val="24"/>
        </w:rPr>
        <w:t>递交报名表、资格审核合格录取、发放录取通知书、交纳学费报到入学。</w:t>
      </w:r>
    </w:p>
    <w:p>
      <w:pPr>
        <w:widowControl/>
        <w:spacing w:line="360" w:lineRule="auto"/>
        <w:ind w:firstLine="120" w:firstLineChars="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证书授予：</w:t>
      </w:r>
      <w:r>
        <w:rPr>
          <w:rFonts w:hint="eastAsia" w:asciiTheme="minorEastAsia" w:hAnsiTheme="minorEastAsia"/>
          <w:sz w:val="24"/>
        </w:rPr>
        <w:t>在课程期限内完成三分之二以上必修课程，颁发中山大学结业证书。</w:t>
      </w:r>
    </w:p>
    <w:p>
      <w:pPr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上课地点：</w:t>
      </w:r>
      <w:r>
        <w:rPr>
          <w:rFonts w:hint="eastAsia" w:ascii="宋体" w:hAnsi="宋体"/>
          <w:color w:val="000000"/>
          <w:sz w:val="24"/>
          <w:lang w:eastAsia="zh-TW"/>
        </w:rPr>
        <w:t>中山大学</w:t>
      </w:r>
      <w:r>
        <w:rPr>
          <w:rFonts w:hint="eastAsia" w:asciiTheme="minorEastAsia" w:hAnsiTheme="minorEastAsia"/>
          <w:sz w:val="24"/>
        </w:rPr>
        <w:t>（移动课堂、游学另行安排）。</w:t>
      </w:r>
    </w:p>
    <w:p>
      <w:pPr>
        <w:tabs>
          <w:tab w:val="left" w:pos="1701"/>
        </w:tabs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TW"/>
        </w:rPr>
        <w:t>招生</w:t>
      </w:r>
      <w:r>
        <w:rPr>
          <w:rFonts w:hint="eastAsia" w:ascii="宋体" w:hAnsi="宋体"/>
          <w:b/>
          <w:color w:val="000000"/>
          <w:sz w:val="24"/>
        </w:rPr>
        <w:t>单位：</w:t>
      </w:r>
      <w:r>
        <w:rPr>
          <w:rFonts w:hint="eastAsia" w:ascii="宋体" w:hAnsi="宋体"/>
          <w:color w:val="000000"/>
          <w:sz w:val="24"/>
        </w:rPr>
        <w:t>广州市中小企业服务中心</w:t>
      </w:r>
    </w:p>
    <w:p>
      <w:pPr>
        <w:tabs>
          <w:tab w:val="left" w:pos="1701"/>
        </w:tabs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 w:cs="Arial Unicode MS"/>
          <w:b/>
          <w:color w:val="000000"/>
          <w:sz w:val="24"/>
        </w:rPr>
        <w:t>联 系 人：</w:t>
      </w:r>
      <w:r>
        <w:rPr>
          <w:rFonts w:hint="eastAsia" w:ascii="宋体" w:hAnsi="宋体" w:cs="Arial Unicode MS"/>
          <w:color w:val="000000"/>
          <w:sz w:val="24"/>
        </w:rPr>
        <w:t xml:space="preserve">徐嘉雯 </w:t>
      </w:r>
      <w:r>
        <w:rPr>
          <w:rFonts w:hint="eastAsia" w:ascii="宋体" w:hAnsi="宋体" w:cs="Arial Unicode MS"/>
          <w:color w:val="000000"/>
          <w:sz w:val="24"/>
          <w:lang w:eastAsia="zh-TW"/>
        </w:rPr>
        <w:t>020-</w:t>
      </w:r>
      <w:r>
        <w:rPr>
          <w:rFonts w:hint="eastAsia" w:ascii="宋体" w:hAnsi="宋体" w:cs="Arial Unicode MS"/>
          <w:color w:val="000000"/>
          <w:sz w:val="24"/>
        </w:rPr>
        <w:t>83495492、</w:t>
      </w:r>
      <w:r>
        <w:rPr>
          <w:rFonts w:hint="eastAsia" w:ascii="仿宋" w:hAnsi="仿宋" w:eastAsia="仿宋" w:cs="仿宋"/>
          <w:sz w:val="24"/>
        </w:rPr>
        <w:t>13711020264</w:t>
      </w:r>
    </w:p>
    <w:p>
      <w:pPr>
        <w:tabs>
          <w:tab w:val="left" w:pos="1701"/>
        </w:tabs>
        <w:spacing w:line="360" w:lineRule="auto"/>
        <w:ind w:firstLine="1320" w:firstLineChars="5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 w:cs="Arial Unicode MS"/>
          <w:color w:val="000000"/>
          <w:sz w:val="24"/>
        </w:rPr>
        <w:t xml:space="preserve">麦小婷 </w:t>
      </w:r>
      <w:r>
        <w:rPr>
          <w:rFonts w:hint="eastAsia" w:ascii="宋体" w:hAnsi="宋体" w:cs="Arial Unicode MS"/>
          <w:color w:val="000000"/>
          <w:sz w:val="24"/>
          <w:lang w:eastAsia="zh-TW"/>
        </w:rPr>
        <w:t>020-8</w:t>
      </w:r>
      <w:r>
        <w:rPr>
          <w:rFonts w:hint="eastAsia" w:ascii="宋体" w:hAnsi="宋体" w:cs="Arial Unicode MS"/>
          <w:color w:val="000000"/>
          <w:sz w:val="24"/>
        </w:rPr>
        <w:t>3</w:t>
      </w:r>
      <w:r>
        <w:rPr>
          <w:rFonts w:hint="eastAsia" w:ascii="宋体" w:hAnsi="宋体" w:cs="Arial Unicode MS"/>
          <w:color w:val="000000"/>
          <w:sz w:val="24"/>
          <w:lang w:eastAsia="zh-TW"/>
        </w:rPr>
        <w:t>4</w:t>
      </w:r>
      <w:r>
        <w:rPr>
          <w:rFonts w:hint="eastAsia" w:ascii="宋体" w:hAnsi="宋体" w:cs="Arial Unicode MS"/>
          <w:color w:val="000000"/>
          <w:sz w:val="24"/>
        </w:rPr>
        <w:t>91639、</w:t>
      </w:r>
      <w:r>
        <w:rPr>
          <w:rFonts w:hint="eastAsia" w:ascii="仿宋" w:hAnsi="仿宋" w:eastAsia="仿宋" w:cs="仿宋"/>
          <w:sz w:val="24"/>
        </w:rPr>
        <w:t>13902258177</w:t>
      </w:r>
    </w:p>
    <w:p>
      <w:pPr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  <w:lang w:eastAsia="zh-TW"/>
        </w:rPr>
      </w:pPr>
      <w:r>
        <w:rPr>
          <w:rFonts w:hint="eastAsia" w:ascii="宋体" w:hAnsi="宋体"/>
          <w:b/>
          <w:color w:val="000000"/>
          <w:sz w:val="24"/>
          <w:lang w:eastAsia="zh-TW"/>
        </w:rPr>
        <w:t>传    真：</w:t>
      </w:r>
      <w:r>
        <w:rPr>
          <w:rFonts w:hint="eastAsia" w:ascii="宋体" w:hAnsi="宋体" w:cs="Arial Unicode MS"/>
          <w:color w:val="000000"/>
          <w:sz w:val="24"/>
          <w:lang w:eastAsia="zh-TW"/>
        </w:rPr>
        <w:t>020-8</w:t>
      </w:r>
      <w:r>
        <w:rPr>
          <w:rFonts w:hint="eastAsia" w:ascii="宋体" w:hAnsi="宋体" w:cs="Arial Unicode MS"/>
          <w:color w:val="000000"/>
          <w:sz w:val="24"/>
        </w:rPr>
        <w:t>3508477</w:t>
      </w:r>
    </w:p>
    <w:p>
      <w:pPr>
        <w:spacing w:line="360" w:lineRule="auto"/>
        <w:ind w:firstLine="120" w:firstLineChars="50"/>
        <w:contextualSpacing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lang w:eastAsia="zh-TW"/>
        </w:rPr>
        <w:t>联系邮箱：</w:t>
      </w:r>
      <w:r>
        <w:rPr>
          <w:rFonts w:hint="eastAsia" w:ascii="宋体" w:hAnsi="宋体"/>
          <w:color w:val="000000"/>
          <w:sz w:val="24"/>
        </w:rPr>
        <w:t>373017949</w:t>
      </w:r>
      <w:r>
        <w:rPr>
          <w:rFonts w:hint="eastAsia" w:ascii="宋体" w:hAnsi="宋体" w:cs="Arial Unicode MS"/>
          <w:color w:val="000000"/>
          <w:sz w:val="24"/>
          <w:lang w:eastAsia="zh-TW"/>
        </w:rPr>
        <w:t>@</w:t>
      </w:r>
      <w:r>
        <w:rPr>
          <w:rFonts w:hint="eastAsia" w:ascii="宋体" w:hAnsi="宋体" w:cs="Arial Unicode MS"/>
          <w:color w:val="000000"/>
          <w:sz w:val="24"/>
        </w:rPr>
        <w:t>qq.com</w:t>
      </w:r>
    </w:p>
    <w:p>
      <w:pPr>
        <w:spacing w:line="360" w:lineRule="auto"/>
        <w:ind w:firstLine="120" w:firstLineChars="50"/>
        <w:contextualSpacing/>
        <w:jc w:val="left"/>
      </w:pPr>
      <w:r>
        <w:rPr>
          <w:rFonts w:hint="eastAsia" w:ascii="宋体" w:hAnsi="宋体"/>
          <w:b/>
          <w:color w:val="000000"/>
          <w:sz w:val="24"/>
          <w:lang w:eastAsia="zh-TW"/>
        </w:rPr>
        <w:t>办公地址：</w:t>
      </w:r>
      <w:r>
        <w:rPr>
          <w:rFonts w:ascii="宋体" w:hAnsi="宋体"/>
          <w:color w:val="000000"/>
          <w:sz w:val="24"/>
          <w:lang w:eastAsia="zh-TW"/>
        </w:rPr>
        <w:t>广州市</w:t>
      </w:r>
      <w:r>
        <w:rPr>
          <w:rFonts w:hint="eastAsia" w:ascii="宋体" w:hAnsi="宋体"/>
          <w:color w:val="000000"/>
          <w:sz w:val="24"/>
        </w:rPr>
        <w:t>越秀区麓景路7号7楼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FEAA53"/>
    <w:multiLevelType w:val="singleLevel"/>
    <w:tmpl w:val="BDFEAA5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F0168"/>
    <w:rsid w:val="00087453"/>
    <w:rsid w:val="00212E00"/>
    <w:rsid w:val="00215533"/>
    <w:rsid w:val="002F2F09"/>
    <w:rsid w:val="003B5A3D"/>
    <w:rsid w:val="00454899"/>
    <w:rsid w:val="00524806"/>
    <w:rsid w:val="005C03A2"/>
    <w:rsid w:val="008263C4"/>
    <w:rsid w:val="00894DFF"/>
    <w:rsid w:val="009C65DD"/>
    <w:rsid w:val="00BE288D"/>
    <w:rsid w:val="00C302AA"/>
    <w:rsid w:val="00C77249"/>
    <w:rsid w:val="00CD664E"/>
    <w:rsid w:val="00D20E78"/>
    <w:rsid w:val="00E318AA"/>
    <w:rsid w:val="203F0168"/>
    <w:rsid w:val="5D332B42"/>
    <w:rsid w:val="6D535020"/>
    <w:rsid w:val="73AA13CD"/>
    <w:rsid w:val="7C01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openxmlformats.org/officeDocument/2006/relationships/diagramColors" Target="diagrams/colors1.xml"/><Relationship Id="rId7" Type="http://schemas.openxmlformats.org/officeDocument/2006/relationships/diagramQuickStyle" Target="diagrams/quickStyle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0\template\wps\0.doc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#1">
  <dgm:title val=""/>
  <dgm:desc val=""/>
  <dgm:catLst>
    <dgm:cat type="colorful" pri="10500"/>
  </dgm:catLst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#2">
  <dgm:title val=""/>
  <dgm:desc val=""/>
  <dgm:catLst>
    <dgm:cat type="colorful" pri="10500"/>
  </dgm:catLst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1FA37D-E06B-4CF3-89F9-7976AAC586BD}" type="doc">
      <dgm:prSet loTypeId="urn:microsoft.com/office/officeart/2005/8/layout/gear1#1" loCatId="cycle" qsTypeId="urn:microsoft.com/office/officeart/2005/8/quickstyle/simple5#1" qsCatId="simple" csTypeId="urn:microsoft.com/office/officeart/2005/8/colors/colorful5#1" csCatId="colorful" phldr="1"/>
      <dgm:spPr/>
    </dgm:pt>
    <dgm:pt modelId="{94273D0C-D7AD-4B6D-8A2B-371E678B19E7}">
      <dgm:prSet phldrT="[文本]"/>
      <dgm:spPr/>
      <dgm:t>
        <a:bodyPr/>
        <a:p>
          <a:pPr algn="ctr"/>
          <a:r>
            <a:rPr lang="zh-CN" altLang="en-US"/>
            <a:t>名师传道</a:t>
          </a:r>
        </a:p>
      </dgm:t>
    </dgm:pt>
    <dgm:pt modelId="{617836EA-FA07-431D-8D8D-2B315350097E}" cxnId="{059B87B8-7EE4-4780-A650-8834D634435D}" type="parTrans">
      <dgm:prSet/>
      <dgm:spPr/>
      <dgm:t>
        <a:bodyPr/>
        <a:p>
          <a:pPr algn="ctr"/>
          <a:endParaRPr lang="zh-CN" altLang="en-US"/>
        </a:p>
      </dgm:t>
    </dgm:pt>
    <dgm:pt modelId="{542DAF96-7BE1-44DA-9326-E77F01437CF0}" cxnId="{059B87B8-7EE4-4780-A650-8834D634435D}" type="sibTrans">
      <dgm:prSet/>
      <dgm:spPr/>
      <dgm:t>
        <a:bodyPr/>
        <a:p>
          <a:pPr algn="ctr"/>
          <a:endParaRPr lang="zh-CN" altLang="en-US"/>
        </a:p>
      </dgm:t>
    </dgm:pt>
    <dgm:pt modelId="{21D03420-A1E3-47A8-9D2B-1EAEA35878D0}">
      <dgm:prSet phldrT="[文本]"/>
      <dgm:spPr/>
      <dgm:t>
        <a:bodyPr/>
        <a:p>
          <a:pPr algn="ctr"/>
          <a:r>
            <a:rPr lang="zh-CN" altLang="en-US"/>
            <a:t>智库解惑</a:t>
          </a:r>
        </a:p>
      </dgm:t>
    </dgm:pt>
    <dgm:pt modelId="{2F0D304B-DC24-4D45-B0A4-637677240C0D}" cxnId="{9953067C-4041-4E42-92A3-BCB8E4F75993}" type="parTrans">
      <dgm:prSet/>
      <dgm:spPr/>
      <dgm:t>
        <a:bodyPr/>
        <a:p>
          <a:pPr algn="ctr"/>
          <a:endParaRPr lang="zh-CN" altLang="en-US"/>
        </a:p>
      </dgm:t>
    </dgm:pt>
    <dgm:pt modelId="{74068DB7-3BA8-47F6-9D60-BA385945FBBA}" cxnId="{9953067C-4041-4E42-92A3-BCB8E4F75993}" type="sibTrans">
      <dgm:prSet/>
      <dgm:spPr/>
      <dgm:t>
        <a:bodyPr/>
        <a:p>
          <a:pPr algn="ctr"/>
          <a:endParaRPr lang="zh-CN" altLang="en-US"/>
        </a:p>
      </dgm:t>
    </dgm:pt>
    <dgm:pt modelId="{46785826-96CA-4981-82AB-4A54B5BD9E79}">
      <dgm:prSet phldrT="[文本]"/>
      <dgm:spPr/>
      <dgm:t>
        <a:bodyPr/>
        <a:p>
          <a:pPr algn="ctr"/>
          <a:r>
            <a:rPr lang="zh-CN" altLang="en-US"/>
            <a:t>大咖授业</a:t>
          </a:r>
        </a:p>
      </dgm:t>
    </dgm:pt>
    <dgm:pt modelId="{6D2607A3-AC1D-44C7-AAC6-1A3BE1DB725F}" cxnId="{8757D43D-AB90-4562-8802-9B0761C1415F}" type="parTrans">
      <dgm:prSet/>
      <dgm:spPr/>
      <dgm:t>
        <a:bodyPr/>
        <a:p>
          <a:pPr algn="ctr"/>
          <a:endParaRPr lang="zh-CN" altLang="en-US"/>
        </a:p>
      </dgm:t>
    </dgm:pt>
    <dgm:pt modelId="{E05FD73E-FB44-4BAA-9D79-B7C346FA817C}" cxnId="{8757D43D-AB90-4562-8802-9B0761C1415F}" type="sibTrans">
      <dgm:prSet/>
      <dgm:spPr/>
      <dgm:t>
        <a:bodyPr/>
        <a:p>
          <a:pPr algn="ctr"/>
          <a:endParaRPr lang="zh-CN" altLang="en-US"/>
        </a:p>
      </dgm:t>
    </dgm:pt>
    <dgm:pt modelId="{9C9D3369-5363-4C5E-BDF8-C14861F245A7}" type="pres">
      <dgm:prSet presAssocID="{A31FA37D-E06B-4CF3-89F9-7976AAC586BD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8DD865A5-A9BE-49FF-BBE5-CE7425F129DE}" type="pres">
      <dgm:prSet presAssocID="{94273D0C-D7AD-4B6D-8A2B-371E678B19E7}" presName="gear1" presStyleLbl="node1" presStyleIdx="0" presStyleCnt="3">
        <dgm:presLayoutVars>
          <dgm:chMax val="1"/>
          <dgm:bulletEnabled val="1"/>
        </dgm:presLayoutVars>
      </dgm:prSet>
      <dgm:spPr/>
    </dgm:pt>
    <dgm:pt modelId="{1B44AE9C-67B6-4836-9DE7-299FE9AF406A}" type="pres">
      <dgm:prSet presAssocID="{94273D0C-D7AD-4B6D-8A2B-371E678B19E7}" presName="gear1srcNode" presStyleLbl="node1" presStyleIdx="0" presStyleCnt="3"/>
      <dgm:spPr/>
    </dgm:pt>
    <dgm:pt modelId="{A681A25C-5E76-4F24-9ED6-7B66C78956F3}" type="pres">
      <dgm:prSet presAssocID="{94273D0C-D7AD-4B6D-8A2B-371E678B19E7}" presName="gear1dstNode" presStyleLbl="node1" presStyleIdx="0" presStyleCnt="3"/>
      <dgm:spPr/>
    </dgm:pt>
    <dgm:pt modelId="{FE23A2A1-2633-42A2-8F33-7DD4BAF9AE6E}" type="pres">
      <dgm:prSet presAssocID="{21D03420-A1E3-47A8-9D2B-1EAEA35878D0}" presName="gear2" presStyleLbl="node1" presStyleIdx="1" presStyleCnt="3">
        <dgm:presLayoutVars>
          <dgm:chMax val="1"/>
          <dgm:bulletEnabled val="1"/>
        </dgm:presLayoutVars>
      </dgm:prSet>
      <dgm:spPr/>
    </dgm:pt>
    <dgm:pt modelId="{A0F7A772-A381-4205-BB0F-4D2B389C9DE4}" type="pres">
      <dgm:prSet presAssocID="{21D03420-A1E3-47A8-9D2B-1EAEA35878D0}" presName="gear2srcNode" presStyleLbl="node1" presStyleIdx="1" presStyleCnt="3"/>
      <dgm:spPr/>
    </dgm:pt>
    <dgm:pt modelId="{70696E11-B7FB-4C84-B175-03CE9B1EC6B6}" type="pres">
      <dgm:prSet presAssocID="{21D03420-A1E3-47A8-9D2B-1EAEA35878D0}" presName="gear2dstNode" presStyleLbl="node1" presStyleIdx="1" presStyleCnt="3"/>
      <dgm:spPr/>
    </dgm:pt>
    <dgm:pt modelId="{C29249EB-D8CF-478E-8AEE-F01FF4336E93}" type="pres">
      <dgm:prSet presAssocID="{46785826-96CA-4981-82AB-4A54B5BD9E79}" presName="gear3" presStyleLbl="node1" presStyleIdx="2" presStyleCnt="3"/>
      <dgm:spPr/>
    </dgm:pt>
    <dgm:pt modelId="{59F8F065-3FD1-4165-A99C-8C96215BAA97}" type="pres">
      <dgm:prSet presAssocID="{46785826-96CA-4981-82AB-4A54B5BD9E79}" presName="gear3tx" presStyleLbl="node1" presStyleIdx="2" presStyleCnt="3">
        <dgm:presLayoutVars>
          <dgm:chMax val="1"/>
          <dgm:bulletEnabled val="1"/>
        </dgm:presLayoutVars>
      </dgm:prSet>
      <dgm:spPr/>
    </dgm:pt>
    <dgm:pt modelId="{6A339FD0-EEE6-4087-8852-97A06E7645D8}" type="pres">
      <dgm:prSet presAssocID="{46785826-96CA-4981-82AB-4A54B5BD9E79}" presName="gear3srcNode" presStyleLbl="node1" presStyleIdx="2" presStyleCnt="3"/>
      <dgm:spPr/>
    </dgm:pt>
    <dgm:pt modelId="{17ACE5C8-F7ED-4122-953F-9E3EA7C91E70}" type="pres">
      <dgm:prSet presAssocID="{46785826-96CA-4981-82AB-4A54B5BD9E79}" presName="gear3dstNode" presStyleLbl="node1" presStyleIdx="2" presStyleCnt="3"/>
      <dgm:spPr/>
    </dgm:pt>
    <dgm:pt modelId="{87B6F4FF-0F1C-4DF0-9DA9-908276C2BF91}" type="pres">
      <dgm:prSet presAssocID="{542DAF96-7BE1-44DA-9326-E77F01437CF0}" presName="connector1" presStyleLbl="sibTrans2D1" presStyleIdx="0" presStyleCnt="3"/>
      <dgm:spPr/>
    </dgm:pt>
    <dgm:pt modelId="{A1AEBCB4-79E3-43F5-B3B1-0A467EE1025B}" type="pres">
      <dgm:prSet presAssocID="{74068DB7-3BA8-47F6-9D60-BA385945FBBA}" presName="connector2" presStyleLbl="sibTrans2D1" presStyleIdx="1" presStyleCnt="3"/>
      <dgm:spPr/>
    </dgm:pt>
    <dgm:pt modelId="{4B60407B-8A4E-4311-ADA8-4010D6306B77}" type="pres">
      <dgm:prSet presAssocID="{E05FD73E-FB44-4BAA-9D79-B7C346FA817C}" presName="connector3" presStyleLbl="sibTrans2D1" presStyleIdx="2" presStyleCnt="3"/>
      <dgm:spPr/>
    </dgm:pt>
  </dgm:ptLst>
  <dgm:cxnLst>
    <dgm:cxn modelId="{3AC22C10-2C11-4545-AE36-797F6118E808}" type="presOf" srcId="{21D03420-A1E3-47A8-9D2B-1EAEA35878D0}" destId="{FE23A2A1-2633-42A2-8F33-7DD4BAF9AE6E}" srcOrd="0" destOrd="0" presId="urn:microsoft.com/office/officeart/2005/8/layout/gear1#1"/>
    <dgm:cxn modelId="{28D2E115-2928-4ECF-82D8-6D8ACCA028BC}" type="presOf" srcId="{94273D0C-D7AD-4B6D-8A2B-371E678B19E7}" destId="{A681A25C-5E76-4F24-9ED6-7B66C78956F3}" srcOrd="2" destOrd="0" presId="urn:microsoft.com/office/officeart/2005/8/layout/gear1#1"/>
    <dgm:cxn modelId="{869F3E28-3B17-467A-9335-B31D6D3252EF}" type="presOf" srcId="{21D03420-A1E3-47A8-9D2B-1EAEA35878D0}" destId="{70696E11-B7FB-4C84-B175-03CE9B1EC6B6}" srcOrd="2" destOrd="0" presId="urn:microsoft.com/office/officeart/2005/8/layout/gear1#1"/>
    <dgm:cxn modelId="{8757D43D-AB90-4562-8802-9B0761C1415F}" srcId="{A31FA37D-E06B-4CF3-89F9-7976AAC586BD}" destId="{46785826-96CA-4981-82AB-4A54B5BD9E79}" srcOrd="2" destOrd="0" parTransId="{6D2607A3-AC1D-44C7-AAC6-1A3BE1DB725F}" sibTransId="{E05FD73E-FB44-4BAA-9D79-B7C346FA817C}"/>
    <dgm:cxn modelId="{86DDB46F-8C74-4B9D-ABBB-55AA0C9554D1}" type="presOf" srcId="{21D03420-A1E3-47A8-9D2B-1EAEA35878D0}" destId="{A0F7A772-A381-4205-BB0F-4D2B389C9DE4}" srcOrd="1" destOrd="0" presId="urn:microsoft.com/office/officeart/2005/8/layout/gear1#1"/>
    <dgm:cxn modelId="{FAA13053-FDE2-4110-9A44-7371AC2F3550}" type="presOf" srcId="{94273D0C-D7AD-4B6D-8A2B-371E678B19E7}" destId="{1B44AE9C-67B6-4836-9DE7-299FE9AF406A}" srcOrd="1" destOrd="0" presId="urn:microsoft.com/office/officeart/2005/8/layout/gear1#1"/>
    <dgm:cxn modelId="{9953067C-4041-4E42-92A3-BCB8E4F75993}" srcId="{A31FA37D-E06B-4CF3-89F9-7976AAC586BD}" destId="{21D03420-A1E3-47A8-9D2B-1EAEA35878D0}" srcOrd="1" destOrd="0" parTransId="{2F0D304B-DC24-4D45-B0A4-637677240C0D}" sibTransId="{74068DB7-3BA8-47F6-9D60-BA385945FBBA}"/>
    <dgm:cxn modelId="{C92F677E-83DC-4BB3-9891-D02DB65705F0}" type="presOf" srcId="{542DAF96-7BE1-44DA-9326-E77F01437CF0}" destId="{87B6F4FF-0F1C-4DF0-9DA9-908276C2BF91}" srcOrd="0" destOrd="0" presId="urn:microsoft.com/office/officeart/2005/8/layout/gear1#1"/>
    <dgm:cxn modelId="{CC71608A-2730-42F7-8CF6-6ED18DCAE2C2}" type="presOf" srcId="{46785826-96CA-4981-82AB-4A54B5BD9E79}" destId="{C29249EB-D8CF-478E-8AEE-F01FF4336E93}" srcOrd="0" destOrd="0" presId="urn:microsoft.com/office/officeart/2005/8/layout/gear1#1"/>
    <dgm:cxn modelId="{0815C98E-9C7B-4DB9-8646-55AA0ADBA6DC}" type="presOf" srcId="{A31FA37D-E06B-4CF3-89F9-7976AAC586BD}" destId="{9C9D3369-5363-4C5E-BDF8-C14861F245A7}" srcOrd="0" destOrd="0" presId="urn:microsoft.com/office/officeart/2005/8/layout/gear1#1"/>
    <dgm:cxn modelId="{ED244A91-4A04-4DE4-9220-8FADA40D019E}" type="presOf" srcId="{94273D0C-D7AD-4B6D-8A2B-371E678B19E7}" destId="{8DD865A5-A9BE-49FF-BBE5-CE7425F129DE}" srcOrd="0" destOrd="0" presId="urn:microsoft.com/office/officeart/2005/8/layout/gear1#1"/>
    <dgm:cxn modelId="{3119D698-1ECB-41DC-89DA-7889C94BA266}" type="presOf" srcId="{74068DB7-3BA8-47F6-9D60-BA385945FBBA}" destId="{A1AEBCB4-79E3-43F5-B3B1-0A467EE1025B}" srcOrd="0" destOrd="0" presId="urn:microsoft.com/office/officeart/2005/8/layout/gear1#1"/>
    <dgm:cxn modelId="{9BC96EA4-2527-4312-A342-E6547C50C045}" type="presOf" srcId="{46785826-96CA-4981-82AB-4A54B5BD9E79}" destId="{6A339FD0-EEE6-4087-8852-97A06E7645D8}" srcOrd="2" destOrd="0" presId="urn:microsoft.com/office/officeart/2005/8/layout/gear1#1"/>
    <dgm:cxn modelId="{059B87B8-7EE4-4780-A650-8834D634435D}" srcId="{A31FA37D-E06B-4CF3-89F9-7976AAC586BD}" destId="{94273D0C-D7AD-4B6D-8A2B-371E678B19E7}" srcOrd="0" destOrd="0" parTransId="{617836EA-FA07-431D-8D8D-2B315350097E}" sibTransId="{542DAF96-7BE1-44DA-9326-E77F01437CF0}"/>
    <dgm:cxn modelId="{E536C1D2-4B1D-43D7-B361-56DBCBD9E12B}" type="presOf" srcId="{46785826-96CA-4981-82AB-4A54B5BD9E79}" destId="{17ACE5C8-F7ED-4122-953F-9E3EA7C91E70}" srcOrd="3" destOrd="0" presId="urn:microsoft.com/office/officeart/2005/8/layout/gear1#1"/>
    <dgm:cxn modelId="{E6E1DDDC-0B7A-40EE-B631-240FE28E052A}" type="presOf" srcId="{46785826-96CA-4981-82AB-4A54B5BD9E79}" destId="{59F8F065-3FD1-4165-A99C-8C96215BAA97}" srcOrd="1" destOrd="0" presId="urn:microsoft.com/office/officeart/2005/8/layout/gear1#1"/>
    <dgm:cxn modelId="{20CEF0FC-FB18-4DBF-BB3A-2EADCAEF71D6}" type="presOf" srcId="{E05FD73E-FB44-4BAA-9D79-B7C346FA817C}" destId="{4B60407B-8A4E-4311-ADA8-4010D6306B77}" srcOrd="0" destOrd="0" presId="urn:microsoft.com/office/officeart/2005/8/layout/gear1#1"/>
    <dgm:cxn modelId="{D29681DE-043B-434F-B94D-6D6E6CB0335C}" type="presParOf" srcId="{9C9D3369-5363-4C5E-BDF8-C14861F245A7}" destId="{8DD865A5-A9BE-49FF-BBE5-CE7425F129DE}" srcOrd="0" destOrd="0" presId="urn:microsoft.com/office/officeart/2005/8/layout/gear1#1"/>
    <dgm:cxn modelId="{C85D3BBD-9B15-4091-BBFA-73EE3B33B6B9}" type="presParOf" srcId="{9C9D3369-5363-4C5E-BDF8-C14861F245A7}" destId="{1B44AE9C-67B6-4836-9DE7-299FE9AF406A}" srcOrd="1" destOrd="0" presId="urn:microsoft.com/office/officeart/2005/8/layout/gear1#1"/>
    <dgm:cxn modelId="{20F1FB09-10A5-47BE-856E-E1BE91FA26C7}" type="presParOf" srcId="{9C9D3369-5363-4C5E-BDF8-C14861F245A7}" destId="{A681A25C-5E76-4F24-9ED6-7B66C78956F3}" srcOrd="2" destOrd="0" presId="urn:microsoft.com/office/officeart/2005/8/layout/gear1#1"/>
    <dgm:cxn modelId="{B3142F2A-2195-4B7A-AA61-66644FE0625C}" type="presParOf" srcId="{9C9D3369-5363-4C5E-BDF8-C14861F245A7}" destId="{FE23A2A1-2633-42A2-8F33-7DD4BAF9AE6E}" srcOrd="3" destOrd="0" presId="urn:microsoft.com/office/officeart/2005/8/layout/gear1#1"/>
    <dgm:cxn modelId="{E9F59B97-FE57-41ED-8951-671601A3B443}" type="presParOf" srcId="{9C9D3369-5363-4C5E-BDF8-C14861F245A7}" destId="{A0F7A772-A381-4205-BB0F-4D2B389C9DE4}" srcOrd="4" destOrd="0" presId="urn:microsoft.com/office/officeart/2005/8/layout/gear1#1"/>
    <dgm:cxn modelId="{84BC76DB-C6CA-43C8-964D-6D3585338051}" type="presParOf" srcId="{9C9D3369-5363-4C5E-BDF8-C14861F245A7}" destId="{70696E11-B7FB-4C84-B175-03CE9B1EC6B6}" srcOrd="5" destOrd="0" presId="urn:microsoft.com/office/officeart/2005/8/layout/gear1#1"/>
    <dgm:cxn modelId="{3B8A9950-FB24-4BA3-8738-C026A6B01553}" type="presParOf" srcId="{9C9D3369-5363-4C5E-BDF8-C14861F245A7}" destId="{C29249EB-D8CF-478E-8AEE-F01FF4336E93}" srcOrd="6" destOrd="0" presId="urn:microsoft.com/office/officeart/2005/8/layout/gear1#1"/>
    <dgm:cxn modelId="{B32A4FE1-E017-435E-82E1-A2F275EB6912}" type="presParOf" srcId="{9C9D3369-5363-4C5E-BDF8-C14861F245A7}" destId="{59F8F065-3FD1-4165-A99C-8C96215BAA97}" srcOrd="7" destOrd="0" presId="urn:microsoft.com/office/officeart/2005/8/layout/gear1#1"/>
    <dgm:cxn modelId="{612D0426-A4DC-4CAB-AE14-45FA78E14717}" type="presParOf" srcId="{9C9D3369-5363-4C5E-BDF8-C14861F245A7}" destId="{6A339FD0-EEE6-4087-8852-97A06E7645D8}" srcOrd="8" destOrd="0" presId="urn:microsoft.com/office/officeart/2005/8/layout/gear1#1"/>
    <dgm:cxn modelId="{5E710E20-F1D1-4022-94C4-76403E73C772}" type="presParOf" srcId="{9C9D3369-5363-4C5E-BDF8-C14861F245A7}" destId="{17ACE5C8-F7ED-4122-953F-9E3EA7C91E70}" srcOrd="9" destOrd="0" presId="urn:microsoft.com/office/officeart/2005/8/layout/gear1#1"/>
    <dgm:cxn modelId="{07010651-DD81-4B84-B453-B7200ABA93FF}" type="presParOf" srcId="{9C9D3369-5363-4C5E-BDF8-C14861F245A7}" destId="{87B6F4FF-0F1C-4DF0-9DA9-908276C2BF91}" srcOrd="10" destOrd="0" presId="urn:microsoft.com/office/officeart/2005/8/layout/gear1#1"/>
    <dgm:cxn modelId="{24ADB8F4-FC2D-4EA5-A181-51D88CB84A35}" type="presParOf" srcId="{9C9D3369-5363-4C5E-BDF8-C14861F245A7}" destId="{A1AEBCB4-79E3-43F5-B3B1-0A467EE1025B}" srcOrd="11" destOrd="0" presId="urn:microsoft.com/office/officeart/2005/8/layout/gear1#1"/>
    <dgm:cxn modelId="{4023E9F3-543B-4650-8E71-C7C454B44D02}" type="presParOf" srcId="{9C9D3369-5363-4C5E-BDF8-C14861F245A7}" destId="{4B60407B-8A4E-4311-ADA8-4010D6306B77}" srcOrd="12" destOrd="0" presId="urn:microsoft.com/office/officeart/2005/8/layout/gear1#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31FA37D-E06B-4CF3-89F9-7976AAC586BD}" type="doc">
      <dgm:prSet loTypeId="urn:microsoft.com/office/officeart/2005/8/layout/cycle8#1" loCatId="cycle" qsTypeId="urn:microsoft.com/office/officeart/2005/8/quickstyle/simple5#2" qsCatId="simple" csTypeId="urn:microsoft.com/office/officeart/2005/8/colors/colorful5#2" csCatId="colorful" phldr="1"/>
      <dgm:spPr/>
    </dgm:pt>
    <dgm:pt modelId="{94273D0C-D7AD-4B6D-8A2B-371E678B19E7}">
      <dgm:prSet phldrT="[文本]" custT="1"/>
      <dgm:spPr/>
      <dgm:t>
        <a:bodyPr/>
        <a:p>
          <a:pPr algn="ctr"/>
          <a:r>
            <a:rPr lang="zh-CN" altLang="en-US" sz="1200"/>
            <a:t>标杆学习</a:t>
          </a:r>
          <a:endParaRPr lang="en-US" altLang="zh-CN" sz="1200"/>
        </a:p>
        <a:p>
          <a:pPr algn="ctr"/>
          <a:r>
            <a:rPr lang="zh-CN" altLang="en-US" sz="1200"/>
            <a:t>授业</a:t>
          </a:r>
          <a:endParaRPr lang="en-US" altLang="zh-CN" sz="1200"/>
        </a:p>
        <a:p>
          <a:pPr algn="ctr"/>
          <a:endParaRPr lang="zh-CN" altLang="en-US" sz="900"/>
        </a:p>
      </dgm:t>
    </dgm:pt>
    <dgm:pt modelId="{617836EA-FA07-431D-8D8D-2B315350097E}" cxnId="{059B87B8-7EE4-4780-A650-8834D634435D}" type="parTrans">
      <dgm:prSet/>
      <dgm:spPr/>
      <dgm:t>
        <a:bodyPr/>
        <a:p>
          <a:pPr algn="ctr"/>
          <a:endParaRPr lang="zh-CN" altLang="en-US"/>
        </a:p>
      </dgm:t>
    </dgm:pt>
    <dgm:pt modelId="{542DAF96-7BE1-44DA-9326-E77F01437CF0}" cxnId="{059B87B8-7EE4-4780-A650-8834D634435D}" type="sibTrans">
      <dgm:prSet/>
      <dgm:spPr/>
      <dgm:t>
        <a:bodyPr/>
        <a:p>
          <a:pPr algn="ctr"/>
          <a:endParaRPr lang="zh-CN" altLang="en-US"/>
        </a:p>
      </dgm:t>
    </dgm:pt>
    <dgm:pt modelId="{21D03420-A1E3-47A8-9D2B-1EAEA35878D0}">
      <dgm:prSet phldrT="[文本]" custT="1"/>
      <dgm:spPr/>
      <dgm:t>
        <a:bodyPr/>
        <a:p>
          <a:pPr algn="ctr"/>
          <a:r>
            <a:rPr lang="zh-CN" altLang="en-US" sz="1200"/>
            <a:t>圈层分享</a:t>
          </a:r>
          <a:endParaRPr lang="en-US" altLang="zh-CN" sz="1200"/>
        </a:p>
        <a:p>
          <a:pPr algn="ctr"/>
          <a:r>
            <a:rPr lang="zh-CN" altLang="en-US" sz="1200"/>
            <a:t>解惑</a:t>
          </a:r>
          <a:endParaRPr lang="en-US" altLang="zh-CN" sz="1200"/>
        </a:p>
        <a:p>
          <a:pPr algn="ctr"/>
          <a:endParaRPr lang="zh-CN" altLang="en-US" sz="900"/>
        </a:p>
      </dgm:t>
    </dgm:pt>
    <dgm:pt modelId="{2F0D304B-DC24-4D45-B0A4-637677240C0D}" cxnId="{9953067C-4041-4E42-92A3-BCB8E4F75993}" type="parTrans">
      <dgm:prSet/>
      <dgm:spPr/>
      <dgm:t>
        <a:bodyPr/>
        <a:p>
          <a:pPr algn="ctr"/>
          <a:endParaRPr lang="zh-CN" altLang="en-US"/>
        </a:p>
      </dgm:t>
    </dgm:pt>
    <dgm:pt modelId="{74068DB7-3BA8-47F6-9D60-BA385945FBBA}" cxnId="{9953067C-4041-4E42-92A3-BCB8E4F75993}" type="sibTrans">
      <dgm:prSet/>
      <dgm:spPr/>
      <dgm:t>
        <a:bodyPr/>
        <a:p>
          <a:pPr algn="ctr"/>
          <a:endParaRPr lang="zh-CN" altLang="en-US"/>
        </a:p>
      </dgm:t>
    </dgm:pt>
    <dgm:pt modelId="{46785826-96CA-4981-82AB-4A54B5BD9E79}">
      <dgm:prSet phldrT="[文本]" custT="1"/>
      <dgm:spPr/>
      <dgm:t>
        <a:bodyPr/>
        <a:p>
          <a:pPr algn="ctr"/>
          <a:r>
            <a:rPr lang="zh-CN" altLang="en-US" sz="1200"/>
            <a:t>经典课堂</a:t>
          </a:r>
          <a:endParaRPr lang="en-US" altLang="zh-CN" sz="1200"/>
        </a:p>
        <a:p>
          <a:pPr algn="ctr"/>
          <a:r>
            <a:rPr lang="zh-CN" altLang="en-US" sz="1200"/>
            <a:t>传道</a:t>
          </a:r>
          <a:endParaRPr lang="en-US" altLang="zh-CN" sz="1200"/>
        </a:p>
        <a:p>
          <a:pPr algn="ctr"/>
          <a:endParaRPr lang="zh-CN" altLang="en-US" sz="900"/>
        </a:p>
      </dgm:t>
    </dgm:pt>
    <dgm:pt modelId="{6D2607A3-AC1D-44C7-AAC6-1A3BE1DB725F}" cxnId="{8757D43D-AB90-4562-8802-9B0761C1415F}" type="parTrans">
      <dgm:prSet/>
      <dgm:spPr/>
      <dgm:t>
        <a:bodyPr/>
        <a:p>
          <a:pPr algn="ctr"/>
          <a:endParaRPr lang="zh-CN" altLang="en-US"/>
        </a:p>
      </dgm:t>
    </dgm:pt>
    <dgm:pt modelId="{E05FD73E-FB44-4BAA-9D79-B7C346FA817C}" cxnId="{8757D43D-AB90-4562-8802-9B0761C1415F}" type="sibTrans">
      <dgm:prSet/>
      <dgm:spPr/>
      <dgm:t>
        <a:bodyPr/>
        <a:p>
          <a:pPr algn="ctr"/>
          <a:endParaRPr lang="zh-CN" altLang="en-US"/>
        </a:p>
      </dgm:t>
    </dgm:pt>
    <dgm:pt modelId="{199A60AD-5614-42DD-A818-0903FAC6ECE6}" type="pres">
      <dgm:prSet presAssocID="{A31FA37D-E06B-4CF3-89F9-7976AAC586BD}" presName="compositeShape" presStyleCnt="0">
        <dgm:presLayoutVars>
          <dgm:chMax val="7"/>
          <dgm:dir/>
          <dgm:resizeHandles val="exact"/>
        </dgm:presLayoutVars>
      </dgm:prSet>
      <dgm:spPr/>
    </dgm:pt>
    <dgm:pt modelId="{5E4886F0-D37E-45CB-A2E4-B73D243CC672}" type="pres">
      <dgm:prSet presAssocID="{A31FA37D-E06B-4CF3-89F9-7976AAC586BD}" presName="wedge1" presStyleLbl="node1" presStyleIdx="0" presStyleCnt="3"/>
      <dgm:spPr/>
    </dgm:pt>
    <dgm:pt modelId="{12EB12F9-9DE1-4144-94E4-1DE8DC13940F}" type="pres">
      <dgm:prSet presAssocID="{A31FA37D-E06B-4CF3-89F9-7976AAC586BD}" presName="dummy1a" presStyleCnt="0"/>
      <dgm:spPr/>
    </dgm:pt>
    <dgm:pt modelId="{E0D861B7-6F52-4618-A165-B20CC2EA63E0}" type="pres">
      <dgm:prSet presAssocID="{A31FA37D-E06B-4CF3-89F9-7976AAC586BD}" presName="dummy1b" presStyleCnt="0"/>
      <dgm:spPr/>
    </dgm:pt>
    <dgm:pt modelId="{137193A1-C121-4304-B2C8-4F8860465D4B}" type="pres">
      <dgm:prSet presAssocID="{A31FA37D-E06B-4CF3-89F9-7976AAC586BD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89A0608E-A481-4618-81D9-ECB6E1AA6A6B}" type="pres">
      <dgm:prSet presAssocID="{A31FA37D-E06B-4CF3-89F9-7976AAC586BD}" presName="wedge2" presStyleLbl="node1" presStyleIdx="1" presStyleCnt="3"/>
      <dgm:spPr/>
    </dgm:pt>
    <dgm:pt modelId="{D819CD65-F3AD-4B0B-B5C1-E721385B66A0}" type="pres">
      <dgm:prSet presAssocID="{A31FA37D-E06B-4CF3-89F9-7976AAC586BD}" presName="dummy2a" presStyleCnt="0"/>
      <dgm:spPr/>
    </dgm:pt>
    <dgm:pt modelId="{6060D0A7-A1DD-48C3-B3B7-F7B5B8125072}" type="pres">
      <dgm:prSet presAssocID="{A31FA37D-E06B-4CF3-89F9-7976AAC586BD}" presName="dummy2b" presStyleCnt="0"/>
      <dgm:spPr/>
    </dgm:pt>
    <dgm:pt modelId="{F9527593-1DE0-4C10-9F05-DF5048FD27C2}" type="pres">
      <dgm:prSet presAssocID="{A31FA37D-E06B-4CF3-89F9-7976AAC586BD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F029D1B8-A910-4074-BBDA-194FFA9EFDB7}" type="pres">
      <dgm:prSet presAssocID="{A31FA37D-E06B-4CF3-89F9-7976AAC586BD}" presName="wedge3" presStyleLbl="node1" presStyleIdx="2" presStyleCnt="3"/>
      <dgm:spPr/>
    </dgm:pt>
    <dgm:pt modelId="{D536DDF6-4026-4C61-BF19-85D18817DB5F}" type="pres">
      <dgm:prSet presAssocID="{A31FA37D-E06B-4CF3-89F9-7976AAC586BD}" presName="dummy3a" presStyleCnt="0"/>
      <dgm:spPr/>
    </dgm:pt>
    <dgm:pt modelId="{D4F36AA4-F237-4463-B8FF-E904789A7BBD}" type="pres">
      <dgm:prSet presAssocID="{A31FA37D-E06B-4CF3-89F9-7976AAC586BD}" presName="dummy3b" presStyleCnt="0"/>
      <dgm:spPr/>
    </dgm:pt>
    <dgm:pt modelId="{66AEE7F2-95BF-4189-87B7-CAF489A73238}" type="pres">
      <dgm:prSet presAssocID="{A31FA37D-E06B-4CF3-89F9-7976AAC586BD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</dgm:pt>
    <dgm:pt modelId="{A768849E-80F1-45A4-A791-C1415A851032}" type="pres">
      <dgm:prSet presAssocID="{542DAF96-7BE1-44DA-9326-E77F01437CF0}" presName="arrowWedge1" presStyleLbl="fgSibTrans2D1" presStyleIdx="0" presStyleCnt="3"/>
      <dgm:spPr/>
    </dgm:pt>
    <dgm:pt modelId="{CDAE681C-57D9-4E3E-ACBD-0C28D354446F}" type="pres">
      <dgm:prSet presAssocID="{74068DB7-3BA8-47F6-9D60-BA385945FBBA}" presName="arrowWedge2" presStyleLbl="fgSibTrans2D1" presStyleIdx="1" presStyleCnt="3"/>
      <dgm:spPr/>
    </dgm:pt>
    <dgm:pt modelId="{2DB6A962-964C-4294-A3D3-3FCA05889921}" type="pres">
      <dgm:prSet presAssocID="{E05FD73E-FB44-4BAA-9D79-B7C346FA817C}" presName="arrowWedge3" presStyleLbl="fgSibTrans2D1" presStyleIdx="2" presStyleCnt="3"/>
      <dgm:spPr/>
    </dgm:pt>
  </dgm:ptLst>
  <dgm:cxnLst>
    <dgm:cxn modelId="{D796BF13-B323-4A6A-872C-580D7E46B75D}" type="presOf" srcId="{94273D0C-D7AD-4B6D-8A2B-371E678B19E7}" destId="{137193A1-C121-4304-B2C8-4F8860465D4B}" srcOrd="1" destOrd="0" presId="urn:microsoft.com/office/officeart/2005/8/layout/cycle8#1"/>
    <dgm:cxn modelId="{F3C58527-7DCF-4A59-AC52-C44432F57893}" type="presOf" srcId="{94273D0C-D7AD-4B6D-8A2B-371E678B19E7}" destId="{5E4886F0-D37E-45CB-A2E4-B73D243CC672}" srcOrd="0" destOrd="0" presId="urn:microsoft.com/office/officeart/2005/8/layout/cycle8#1"/>
    <dgm:cxn modelId="{91069D3A-CFC3-4E39-9829-C373506E5F22}" type="presOf" srcId="{46785826-96CA-4981-82AB-4A54B5BD9E79}" destId="{66AEE7F2-95BF-4189-87B7-CAF489A73238}" srcOrd="1" destOrd="0" presId="urn:microsoft.com/office/officeart/2005/8/layout/cycle8#1"/>
    <dgm:cxn modelId="{8757D43D-AB90-4562-8802-9B0761C1415F}" srcId="{A31FA37D-E06B-4CF3-89F9-7976AAC586BD}" destId="{46785826-96CA-4981-82AB-4A54B5BD9E79}" srcOrd="2" destOrd="0" parTransId="{6D2607A3-AC1D-44C7-AAC6-1A3BE1DB725F}" sibTransId="{E05FD73E-FB44-4BAA-9D79-B7C346FA817C}"/>
    <dgm:cxn modelId="{E16E334D-E1C9-4AF1-BCF1-D0BC3D02BBDD}" type="presOf" srcId="{46785826-96CA-4981-82AB-4A54B5BD9E79}" destId="{F029D1B8-A910-4074-BBDA-194FFA9EFDB7}" srcOrd="0" destOrd="0" presId="urn:microsoft.com/office/officeart/2005/8/layout/cycle8#1"/>
    <dgm:cxn modelId="{3900506F-142B-4E3F-9951-F1933B10B17D}" type="presOf" srcId="{21D03420-A1E3-47A8-9D2B-1EAEA35878D0}" destId="{89A0608E-A481-4618-81D9-ECB6E1AA6A6B}" srcOrd="0" destOrd="0" presId="urn:microsoft.com/office/officeart/2005/8/layout/cycle8#1"/>
    <dgm:cxn modelId="{9953067C-4041-4E42-92A3-BCB8E4F75993}" srcId="{A31FA37D-E06B-4CF3-89F9-7976AAC586BD}" destId="{21D03420-A1E3-47A8-9D2B-1EAEA35878D0}" srcOrd="1" destOrd="0" parTransId="{2F0D304B-DC24-4D45-B0A4-637677240C0D}" sibTransId="{74068DB7-3BA8-47F6-9D60-BA385945FBBA}"/>
    <dgm:cxn modelId="{0687BE9A-A2A6-4AFA-9304-F2823479C01C}" type="presOf" srcId="{A31FA37D-E06B-4CF3-89F9-7976AAC586BD}" destId="{199A60AD-5614-42DD-A818-0903FAC6ECE6}" srcOrd="0" destOrd="0" presId="urn:microsoft.com/office/officeart/2005/8/layout/cycle8#1"/>
    <dgm:cxn modelId="{059B87B8-7EE4-4780-A650-8834D634435D}" srcId="{A31FA37D-E06B-4CF3-89F9-7976AAC586BD}" destId="{94273D0C-D7AD-4B6D-8A2B-371E678B19E7}" srcOrd="0" destOrd="0" parTransId="{617836EA-FA07-431D-8D8D-2B315350097E}" sibTransId="{542DAF96-7BE1-44DA-9326-E77F01437CF0}"/>
    <dgm:cxn modelId="{0369A5CB-1EDE-4071-B281-C4909C502092}" type="presOf" srcId="{21D03420-A1E3-47A8-9D2B-1EAEA35878D0}" destId="{F9527593-1DE0-4C10-9F05-DF5048FD27C2}" srcOrd="1" destOrd="0" presId="urn:microsoft.com/office/officeart/2005/8/layout/cycle8#1"/>
    <dgm:cxn modelId="{92F909CC-8E75-46C1-A3C3-7A7D391348A0}" type="presParOf" srcId="{199A60AD-5614-42DD-A818-0903FAC6ECE6}" destId="{5E4886F0-D37E-45CB-A2E4-B73D243CC672}" srcOrd="0" destOrd="0" presId="urn:microsoft.com/office/officeart/2005/8/layout/cycle8#1"/>
    <dgm:cxn modelId="{E1EE7B7C-E0C0-45FB-875D-6F1AD6CD4F44}" type="presParOf" srcId="{199A60AD-5614-42DD-A818-0903FAC6ECE6}" destId="{12EB12F9-9DE1-4144-94E4-1DE8DC13940F}" srcOrd="1" destOrd="0" presId="urn:microsoft.com/office/officeart/2005/8/layout/cycle8#1"/>
    <dgm:cxn modelId="{6DB52717-A6A9-4392-9255-10AC00BCACCF}" type="presParOf" srcId="{199A60AD-5614-42DD-A818-0903FAC6ECE6}" destId="{E0D861B7-6F52-4618-A165-B20CC2EA63E0}" srcOrd="2" destOrd="0" presId="urn:microsoft.com/office/officeart/2005/8/layout/cycle8#1"/>
    <dgm:cxn modelId="{93A7F693-9B46-4EF8-80D0-98C942F8E3A4}" type="presParOf" srcId="{199A60AD-5614-42DD-A818-0903FAC6ECE6}" destId="{137193A1-C121-4304-B2C8-4F8860465D4B}" srcOrd="3" destOrd="0" presId="urn:microsoft.com/office/officeart/2005/8/layout/cycle8#1"/>
    <dgm:cxn modelId="{238786C7-7B07-427C-A79D-EC1842B9F301}" type="presParOf" srcId="{199A60AD-5614-42DD-A818-0903FAC6ECE6}" destId="{89A0608E-A481-4618-81D9-ECB6E1AA6A6B}" srcOrd="4" destOrd="0" presId="urn:microsoft.com/office/officeart/2005/8/layout/cycle8#1"/>
    <dgm:cxn modelId="{2F5E1D81-FAF0-4A8B-B2DB-80A6B264A59D}" type="presParOf" srcId="{199A60AD-5614-42DD-A818-0903FAC6ECE6}" destId="{D819CD65-F3AD-4B0B-B5C1-E721385B66A0}" srcOrd="5" destOrd="0" presId="urn:microsoft.com/office/officeart/2005/8/layout/cycle8#1"/>
    <dgm:cxn modelId="{6790DA45-07E9-4063-AEA9-85A72E181EAD}" type="presParOf" srcId="{199A60AD-5614-42DD-A818-0903FAC6ECE6}" destId="{6060D0A7-A1DD-48C3-B3B7-F7B5B8125072}" srcOrd="6" destOrd="0" presId="urn:microsoft.com/office/officeart/2005/8/layout/cycle8#1"/>
    <dgm:cxn modelId="{040406C3-C12B-4E1B-BD9D-4A6FD2449745}" type="presParOf" srcId="{199A60AD-5614-42DD-A818-0903FAC6ECE6}" destId="{F9527593-1DE0-4C10-9F05-DF5048FD27C2}" srcOrd="7" destOrd="0" presId="urn:microsoft.com/office/officeart/2005/8/layout/cycle8#1"/>
    <dgm:cxn modelId="{8DAA379B-5FD0-4DAC-BE86-6D145F4526B2}" type="presParOf" srcId="{199A60AD-5614-42DD-A818-0903FAC6ECE6}" destId="{F029D1B8-A910-4074-BBDA-194FFA9EFDB7}" srcOrd="8" destOrd="0" presId="urn:microsoft.com/office/officeart/2005/8/layout/cycle8#1"/>
    <dgm:cxn modelId="{068D9215-DBD6-4FB8-A37C-F0415C3812AA}" type="presParOf" srcId="{199A60AD-5614-42DD-A818-0903FAC6ECE6}" destId="{D536DDF6-4026-4C61-BF19-85D18817DB5F}" srcOrd="9" destOrd="0" presId="urn:microsoft.com/office/officeart/2005/8/layout/cycle8#1"/>
    <dgm:cxn modelId="{F54BD9D1-46DD-4DFA-8D49-9D0690EEF2D1}" type="presParOf" srcId="{199A60AD-5614-42DD-A818-0903FAC6ECE6}" destId="{D4F36AA4-F237-4463-B8FF-E904789A7BBD}" srcOrd="10" destOrd="0" presId="urn:microsoft.com/office/officeart/2005/8/layout/cycle8#1"/>
    <dgm:cxn modelId="{1C809F35-22AB-474A-BEEB-94BF6876C8FC}" type="presParOf" srcId="{199A60AD-5614-42DD-A818-0903FAC6ECE6}" destId="{66AEE7F2-95BF-4189-87B7-CAF489A73238}" srcOrd="11" destOrd="0" presId="urn:microsoft.com/office/officeart/2005/8/layout/cycle8#1"/>
    <dgm:cxn modelId="{65109A0C-7C02-4B86-87E2-B28CACEFD14D}" type="presParOf" srcId="{199A60AD-5614-42DD-A818-0903FAC6ECE6}" destId="{A768849E-80F1-45A4-A791-C1415A851032}" srcOrd="12" destOrd="0" presId="urn:microsoft.com/office/officeart/2005/8/layout/cycle8#1"/>
    <dgm:cxn modelId="{ED5AFCEF-793A-4A4E-A56C-B6E421D39C50}" type="presParOf" srcId="{199A60AD-5614-42DD-A818-0903FAC6ECE6}" destId="{CDAE681C-57D9-4E3E-ACBD-0C28D354446F}" srcOrd="13" destOrd="0" presId="urn:microsoft.com/office/officeart/2005/8/layout/cycle8#1"/>
    <dgm:cxn modelId="{6DFC43A7-7892-4D6A-9E91-66395522A0CB}" type="presParOf" srcId="{199A60AD-5614-42DD-A818-0903FAC6ECE6}" destId="{2DB6A962-964C-4294-A3D3-3FCA05889921}" srcOrd="14" destOrd="0" presId="urn:microsoft.com/office/officeart/2005/8/layout/cycle8#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D865A5-A9BE-49FF-BBE5-CE7425F129DE}">
      <dsp:nvSpPr>
        <dsp:cNvPr id="0" name=""/>
        <dsp:cNvSpPr/>
      </dsp:nvSpPr>
      <dsp:spPr>
        <a:xfrm>
          <a:off x="1134141" y="1134141"/>
          <a:ext cx="1386173" cy="1386173"/>
        </a:xfrm>
        <a:prstGeom prst="gear9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/>
            <a:t>名师传道</a:t>
          </a:r>
        </a:p>
      </dsp:txBody>
      <dsp:txXfrm>
        <a:off x="1412823" y="1458845"/>
        <a:ext cx="828809" cy="712522"/>
      </dsp:txXfrm>
    </dsp:sp>
    <dsp:sp modelId="{FE23A2A1-2633-42A2-8F33-7DD4BAF9AE6E}">
      <dsp:nvSpPr>
        <dsp:cNvPr id="0" name=""/>
        <dsp:cNvSpPr/>
      </dsp:nvSpPr>
      <dsp:spPr>
        <a:xfrm>
          <a:off x="327640" y="806500"/>
          <a:ext cx="1008126" cy="1008126"/>
        </a:xfrm>
        <a:prstGeom prst="gear6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/>
            <a:t>智库解惑</a:t>
          </a:r>
        </a:p>
      </dsp:txBody>
      <dsp:txXfrm>
        <a:off x="581439" y="1061833"/>
        <a:ext cx="500528" cy="497460"/>
      </dsp:txXfrm>
    </dsp:sp>
    <dsp:sp modelId="{C29249EB-D8CF-478E-8AEE-F01FF4336E93}">
      <dsp:nvSpPr>
        <dsp:cNvPr id="0" name=""/>
        <dsp:cNvSpPr/>
      </dsp:nvSpPr>
      <dsp:spPr>
        <a:xfrm rot="20700000">
          <a:off x="892294" y="110996"/>
          <a:ext cx="987757" cy="987757"/>
        </a:xfrm>
        <a:prstGeom prst="gear6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500" kern="1200"/>
            <a:t>大咖授业</a:t>
          </a:r>
        </a:p>
      </dsp:txBody>
      <dsp:txXfrm rot="-20700000">
        <a:off x="1108938" y="327640"/>
        <a:ext cx="554469" cy="554469"/>
      </dsp:txXfrm>
    </dsp:sp>
    <dsp:sp modelId="{87B6F4FF-0F1C-4DF0-9DA9-908276C2BF91}">
      <dsp:nvSpPr>
        <dsp:cNvPr id="0" name=""/>
        <dsp:cNvSpPr/>
      </dsp:nvSpPr>
      <dsp:spPr>
        <a:xfrm>
          <a:off x="1010196" y="934654"/>
          <a:ext cx="1774301" cy="1774301"/>
        </a:xfrm>
        <a:prstGeom prst="circularArrow">
          <a:avLst>
            <a:gd name="adj1" fmla="val 4688"/>
            <a:gd name="adj2" fmla="val 299029"/>
            <a:gd name="adj3" fmla="val 2455664"/>
            <a:gd name="adj4" fmla="val 15998376"/>
            <a:gd name="adj5" fmla="val 5469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A1AEBCB4-79E3-43F5-B3B1-0A467EE1025B}">
      <dsp:nvSpPr>
        <dsp:cNvPr id="0" name=""/>
        <dsp:cNvSpPr/>
      </dsp:nvSpPr>
      <dsp:spPr>
        <a:xfrm>
          <a:off x="149103" y="590624"/>
          <a:ext cx="1289141" cy="1289141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B60407B-8A4E-4311-ADA8-4010D6306B77}">
      <dsp:nvSpPr>
        <dsp:cNvPr id="0" name=""/>
        <dsp:cNvSpPr/>
      </dsp:nvSpPr>
      <dsp:spPr>
        <a:xfrm>
          <a:off x="663815" y="-98175"/>
          <a:ext cx="1389953" cy="1389953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4886F0-D37E-45CB-A2E4-B73D243CC672}">
      <dsp:nvSpPr>
        <dsp:cNvPr id="0" name=""/>
        <dsp:cNvSpPr/>
      </dsp:nvSpPr>
      <dsp:spPr>
        <a:xfrm>
          <a:off x="245226" y="163820"/>
          <a:ext cx="2117064" cy="2117064"/>
        </a:xfrm>
        <a:prstGeom prst="pie">
          <a:avLst>
            <a:gd name="adj1" fmla="val 16200000"/>
            <a:gd name="adj2" fmla="val 180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kern="1200"/>
            <a:t>标杆学习</a:t>
          </a:r>
          <a:endParaRPr lang="en-US" altLang="zh-CN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kern="1200"/>
            <a:t>授业</a:t>
          </a:r>
          <a:endParaRPr lang="en-US" altLang="zh-CN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900" kern="1200"/>
        </a:p>
      </dsp:txBody>
      <dsp:txXfrm>
        <a:off x="1360970" y="612436"/>
        <a:ext cx="756094" cy="630078"/>
      </dsp:txXfrm>
    </dsp:sp>
    <dsp:sp modelId="{89A0608E-A481-4618-81D9-ECB6E1AA6A6B}">
      <dsp:nvSpPr>
        <dsp:cNvPr id="0" name=""/>
        <dsp:cNvSpPr/>
      </dsp:nvSpPr>
      <dsp:spPr>
        <a:xfrm>
          <a:off x="201625" y="239429"/>
          <a:ext cx="2117064" cy="2117064"/>
        </a:xfrm>
        <a:prstGeom prst="pie">
          <a:avLst>
            <a:gd name="adj1" fmla="val 1800000"/>
            <a:gd name="adj2" fmla="val 9000000"/>
          </a:avLst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kern="1200"/>
            <a:t>圈层分享</a:t>
          </a:r>
          <a:endParaRPr lang="en-US" altLang="zh-CN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kern="1200"/>
            <a:t>解惑</a:t>
          </a:r>
          <a:endParaRPr lang="en-US" altLang="zh-CN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900" kern="1200"/>
        </a:p>
      </dsp:txBody>
      <dsp:txXfrm>
        <a:off x="705688" y="1613001"/>
        <a:ext cx="1134141" cy="554469"/>
      </dsp:txXfrm>
    </dsp:sp>
    <dsp:sp modelId="{F029D1B8-A910-4074-BBDA-194FFA9EFDB7}">
      <dsp:nvSpPr>
        <dsp:cNvPr id="0" name=""/>
        <dsp:cNvSpPr/>
      </dsp:nvSpPr>
      <dsp:spPr>
        <a:xfrm>
          <a:off x="158023" y="163820"/>
          <a:ext cx="2117064" cy="2117064"/>
        </a:xfrm>
        <a:prstGeom prst="pie">
          <a:avLst>
            <a:gd name="adj1" fmla="val 9000000"/>
            <a:gd name="adj2" fmla="val 16200000"/>
          </a:avLst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kern="1200"/>
            <a:t>经典课堂</a:t>
          </a:r>
          <a:endParaRPr lang="en-US" altLang="zh-CN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kern="1200"/>
            <a:t>传道</a:t>
          </a:r>
          <a:endParaRPr lang="en-US" altLang="zh-CN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900" kern="1200"/>
        </a:p>
      </dsp:txBody>
      <dsp:txXfrm>
        <a:off x="403250" y="612436"/>
        <a:ext cx="756094" cy="630078"/>
      </dsp:txXfrm>
    </dsp:sp>
    <dsp:sp modelId="{A768849E-80F1-45A4-A791-C1415A851032}">
      <dsp:nvSpPr>
        <dsp:cNvPr id="0" name=""/>
        <dsp:cNvSpPr/>
      </dsp:nvSpPr>
      <dsp:spPr>
        <a:xfrm>
          <a:off x="114345" y="32764"/>
          <a:ext cx="2379177" cy="237917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CDAE681C-57D9-4E3E-ACBD-0C28D354446F}">
      <dsp:nvSpPr>
        <dsp:cNvPr id="0" name=""/>
        <dsp:cNvSpPr/>
      </dsp:nvSpPr>
      <dsp:spPr>
        <a:xfrm>
          <a:off x="70568" y="108239"/>
          <a:ext cx="2379177" cy="237917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2DB6A962-964C-4294-A3D3-3FCA05889921}">
      <dsp:nvSpPr>
        <dsp:cNvPr id="0" name=""/>
        <dsp:cNvSpPr/>
      </dsp:nvSpPr>
      <dsp:spPr>
        <a:xfrm>
          <a:off x="26792" y="32764"/>
          <a:ext cx="2379177" cy="2379177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#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type="gear6" r:blip="" rot="-15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srcNode" val="gear1srcNode"/>
          <dgm:param type="dstNode" val="gear1dstNode"/>
          <dgm:param type="connRout" val="curv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srcNode" val="gear2srcNode"/>
          <dgm:param type="dstNode" val="gear2dstNode"/>
          <dgm:param type="connRout" val="curv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srcNode" val="gear3srcNode"/>
          <dgm:param type="dstNode" val="gear3dstNode"/>
          <dgm:param type="connRout" val="curv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8#1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ar" val="1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srcNode" val="dummy1a"/>
                  <dgm:param type="dstNode" val="dummy1b"/>
                  <dgm:param type="begSty" val="arr"/>
                  <dgm:param type="endSty" val="noArr"/>
                  <dgm:param type="connRout" val="longCurve"/>
                  <dgm:param type="begPts" val="tL"/>
                  <dgm:param type="endPts" val="tR"/>
                </dgm:alg>
              </dgm:if>
              <dgm:else name="Name175">
                <dgm:alg type="conn">
                  <dgm:param type="srcNode" val="dummy1a"/>
                  <dgm:param type="dstNode" val="dummy1b"/>
                  <dgm:param type="begSty" val="noArr"/>
                  <dgm:param type="endSty" val="arr"/>
                  <dgm:param type="connRout" val="longCurve"/>
                  <dgm:param type="begPts" val="tL"/>
                  <dgm:param type="endPts" val="t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srcNode" val="dummy1a"/>
                  <dgm:param type="dstNode" val="dummy1b"/>
                  <dgm:param type="begSty" val="noArr"/>
                  <dgm:param type="endSty" val="arr"/>
                  <dgm:param type="connRout" val="curve"/>
                  <dgm:param type="begPts" val="tL"/>
                  <dgm:param type="endPts" val="tL"/>
                </dgm:alg>
              </dgm:if>
              <dgm:else name="Name180">
                <dgm:alg type="conn">
                  <dgm:param type="srcNode" val="dummy1a"/>
                  <dgm:param type="dstNode" val="dummy1b"/>
                  <dgm:param type="begSty" val="arr"/>
                  <dgm:param type="endSty" val="noArr"/>
                  <dgm:param type="connRout" val="curve"/>
                  <dgm:param type="begPts" val="tL"/>
                  <dgm:param type="endPts" val="tL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srcNode" val="dummy2a"/>
              <dgm:param type="dstNode" val="dummy2b"/>
              <dgm:param type="begSty" val="noArr"/>
              <dgm:param type="endSty" val="arr"/>
              <dgm:param type="connRout" val="curve"/>
              <dgm:param type="begPts" val="tL"/>
              <dgm:param type="endPts" val="tL"/>
            </dgm:alg>
          </dgm:if>
          <dgm:else name="Name185">
            <dgm:alg type="conn">
              <dgm:param type="srcNode" val="dummy2a"/>
              <dgm:param type="dstNode" val="dummy2b"/>
              <dgm:param type="begSty" val="arr"/>
              <dgm:param type="endSty" val="noArr"/>
              <dgm:param type="connRout" val="curve"/>
              <dgm:param type="begPts" val="tL"/>
              <dgm:param type="endPts" val="tL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srcNode" val="dummy3a"/>
              <dgm:param type="dstNode" val="dummy3b"/>
              <dgm:param type="begSty" val="noArr"/>
              <dgm:param type="endSty" val="arr"/>
              <dgm:param type="connRout" val="curve"/>
              <dgm:param type="begPts" val="tL"/>
              <dgm:param type="endPts" val="tL"/>
            </dgm:alg>
          </dgm:if>
          <dgm:else name="Name189">
            <dgm:alg type="conn">
              <dgm:param type="srcNode" val="dummy3a"/>
              <dgm:param type="dstNode" val="dummy3b"/>
              <dgm:param type="begSty" val="arr"/>
              <dgm:param type="endSty" val="noArr"/>
              <dgm:param type="connRout" val="curve"/>
              <dgm:param type="begPts" val="tL"/>
              <dgm:param type="endPts" val="tL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srcNode" val="dummy4a"/>
              <dgm:param type="dstNode" val="dummy4b"/>
              <dgm:param type="begSty" val="noArr"/>
              <dgm:param type="endSty" val="arr"/>
              <dgm:param type="connRout" val="curve"/>
              <dgm:param type="begPts" val="tL"/>
              <dgm:param type="endPts" val="tL"/>
            </dgm:alg>
          </dgm:if>
          <dgm:else name="Name193">
            <dgm:alg type="conn">
              <dgm:param type="srcNode" val="dummy4a"/>
              <dgm:param type="dstNode" val="dummy4b"/>
              <dgm:param type="begSty" val="arr"/>
              <dgm:param type="endSty" val="noArr"/>
              <dgm:param type="connRout" val="curve"/>
              <dgm:param type="begPts" val="tL"/>
              <dgm:param type="endPts" val="tL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srcNode" val="dummy5a"/>
              <dgm:param type="dstNode" val="dummy5b"/>
              <dgm:param type="begSty" val="noArr"/>
              <dgm:param type="endSty" val="arr"/>
              <dgm:param type="connRout" val="curve"/>
              <dgm:param type="begPts" val="tL"/>
              <dgm:param type="endPts" val="tL"/>
            </dgm:alg>
          </dgm:if>
          <dgm:else name="Name197">
            <dgm:alg type="conn">
              <dgm:param type="srcNode" val="dummy5a"/>
              <dgm:param type="dstNode" val="dummy5b"/>
              <dgm:param type="begSty" val="arr"/>
              <dgm:param type="endSty" val="noArr"/>
              <dgm:param type="connRout" val="curve"/>
              <dgm:param type="begPts" val="tL"/>
              <dgm:param type="endPts" val="tL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srcNode" val="dummy6a"/>
              <dgm:param type="dstNode" val="dummy6b"/>
              <dgm:param type="begSty" val="noArr"/>
              <dgm:param type="endSty" val="arr"/>
              <dgm:param type="connRout" val="curve"/>
              <dgm:param type="begPts" val="tL"/>
              <dgm:param type="endPts" val="tL"/>
            </dgm:alg>
          </dgm:if>
          <dgm:else name="Name201">
            <dgm:alg type="conn">
              <dgm:param type="srcNode" val="dummy6a"/>
              <dgm:param type="dstNode" val="dummy6b"/>
              <dgm:param type="begSty" val="arr"/>
              <dgm:param type="endSty" val="noArr"/>
              <dgm:param type="connRout" val="curve"/>
              <dgm:param type="begPts" val="tL"/>
              <dgm:param type="endPts" val="tL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srcNode" val="dummy7a"/>
              <dgm:param type="dstNode" val="dummy7b"/>
              <dgm:param type="begSty" val="noArr"/>
              <dgm:param type="endSty" val="arr"/>
              <dgm:param type="connRout" val="curve"/>
              <dgm:param type="begPts" val="tL"/>
              <dgm:param type="endPts" val="tL"/>
            </dgm:alg>
          </dgm:if>
          <dgm:else name="Name205">
            <dgm:alg type="conn">
              <dgm:param type="srcNode" val="dummy7a"/>
              <dgm:param type="dstNode" val="dummy7b"/>
              <dgm:param type="begSty" val="arr"/>
              <dgm:param type="endSty" val="noArr"/>
              <dgm:param type="connRout" val="curve"/>
              <dgm:param type="begPts" val="tL"/>
              <dgm:param type="endPts" val="tL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#1">
  <dgm:title val=""/>
  <dgm:desc val=""/>
  <dgm:catLst>
    <dgm:cat type="simple" pri="105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#2">
  <dgm:title val=""/>
  <dgm:desc val=""/>
  <dgm:catLst>
    <dgm:cat type="simple" pri="105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9</Pages>
  <Words>3883</Words>
  <Characters>4111</Characters>
  <Lines>33</Lines>
  <Paragraphs>9</Paragraphs>
  <TotalTime>77</TotalTime>
  <ScaleCrop>false</ScaleCrop>
  <LinksUpToDate>false</LinksUpToDate>
  <CharactersWithSpaces>4198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2018-06-12T02:10:00Z</dcterms:created>
  <dc:creator>纨z</dc:creator>
  <cp:lastModifiedBy>纨z</cp:lastModifiedBy>
  <dcterms:modified xsi:type="dcterms:W3CDTF">2019-04-09T07:52:40Z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